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D34BC">
      <w:pPr>
        <w:spacing w:before="86" w:line="219" w:lineRule="auto"/>
        <w:ind w:left="331"/>
        <w:rPr>
          <w:rFonts w:ascii="宋体" w:hAnsi="宋体" w:eastAsia="宋体" w:cs="宋体"/>
          <w:sz w:val="43"/>
          <w:szCs w:val="43"/>
        </w:rPr>
      </w:pPr>
      <w:r>
        <w:rPr>
          <w:rFonts w:hint="eastAsia" w:ascii="宋体" w:hAnsi="宋体" w:eastAsia="宋体" w:cs="宋体"/>
          <w:b/>
          <w:bCs/>
          <w:spacing w:val="-7"/>
          <w:sz w:val="43"/>
          <w:szCs w:val="43"/>
          <w:lang w:eastAsia="zh-CN"/>
        </w:rPr>
        <w:t>渝水区</w:t>
      </w:r>
      <w:r>
        <w:rPr>
          <w:rFonts w:ascii="宋体" w:hAnsi="宋体" w:eastAsia="宋体" w:cs="宋体"/>
          <w:b/>
          <w:bCs/>
          <w:spacing w:val="-7"/>
          <w:sz w:val="43"/>
          <w:szCs w:val="43"/>
        </w:rPr>
        <w:t>房屋建筑和市政基础设施工程招标</w:t>
      </w:r>
    </w:p>
    <w:p w14:paraId="435B843C">
      <w:pPr>
        <w:spacing w:before="71" w:line="220" w:lineRule="auto"/>
        <w:jc w:val="center"/>
        <w:rPr>
          <w:rFonts w:ascii="宋体" w:hAnsi="宋体" w:eastAsia="宋体" w:cs="宋体"/>
          <w:sz w:val="43"/>
          <w:szCs w:val="43"/>
        </w:rPr>
      </w:pPr>
      <w:r>
        <w:rPr>
          <w:rFonts w:ascii="宋体" w:hAnsi="宋体" w:eastAsia="宋体" w:cs="宋体"/>
          <w:b/>
          <w:bCs/>
          <w:spacing w:val="16"/>
          <w:sz w:val="43"/>
          <w:szCs w:val="43"/>
        </w:rPr>
        <w:t>投标评定分离实施细则</w:t>
      </w:r>
    </w:p>
    <w:p w14:paraId="2C9B5121">
      <w:pPr>
        <w:spacing w:line="337" w:lineRule="auto"/>
        <w:rPr>
          <w:rFonts w:ascii="Arial"/>
          <w:sz w:val="21"/>
        </w:rPr>
      </w:pPr>
    </w:p>
    <w:p w14:paraId="39BB580B">
      <w:pPr>
        <w:spacing w:line="338" w:lineRule="auto"/>
        <w:rPr>
          <w:rFonts w:ascii="Arial"/>
          <w:sz w:val="21"/>
        </w:rPr>
      </w:pPr>
    </w:p>
    <w:p w14:paraId="1FFDD20A">
      <w:pPr>
        <w:keepNext w:val="0"/>
        <w:keepLines w:val="0"/>
        <w:pageBreakBefore w:val="0"/>
        <w:widowControl/>
        <w:kinsoku w:val="0"/>
        <w:wordWrap/>
        <w:overflowPunct/>
        <w:topLinePunct w:val="0"/>
        <w:autoSpaceDE w:val="0"/>
        <w:autoSpaceDN w:val="0"/>
        <w:bidi w:val="0"/>
        <w:adjustRightInd w:val="0"/>
        <w:snapToGrid w:val="0"/>
        <w:spacing w:before="101" w:line="341" w:lineRule="auto"/>
        <w:ind w:left="3199"/>
        <w:textAlignment w:val="baseline"/>
        <w:outlineLvl w:val="2"/>
        <w:rPr>
          <w:rFonts w:ascii="黑体" w:hAnsi="黑体" w:eastAsia="黑体" w:cs="黑体"/>
          <w:sz w:val="31"/>
          <w:szCs w:val="31"/>
        </w:rPr>
      </w:pPr>
      <w:r>
        <w:rPr>
          <w:rFonts w:ascii="黑体" w:hAnsi="黑体" w:eastAsia="黑体" w:cs="黑体"/>
          <w:b/>
          <w:bCs/>
          <w:spacing w:val="3"/>
          <w:sz w:val="31"/>
          <w:szCs w:val="31"/>
        </w:rPr>
        <w:t>第一章</w:t>
      </w:r>
      <w:r>
        <w:rPr>
          <w:rFonts w:ascii="黑体" w:hAnsi="黑体" w:eastAsia="黑体" w:cs="黑体"/>
          <w:spacing w:val="14"/>
          <w:sz w:val="31"/>
          <w:szCs w:val="31"/>
        </w:rPr>
        <w:t xml:space="preserve">  </w:t>
      </w:r>
      <w:r>
        <w:rPr>
          <w:rFonts w:ascii="黑体" w:hAnsi="黑体" w:eastAsia="黑体" w:cs="黑体"/>
          <w:b/>
          <w:bCs/>
          <w:spacing w:val="3"/>
          <w:sz w:val="31"/>
          <w:szCs w:val="31"/>
        </w:rPr>
        <w:t>总则</w:t>
      </w:r>
    </w:p>
    <w:p w14:paraId="6662E8C8">
      <w:pPr>
        <w:pStyle w:val="2"/>
        <w:keepNext w:val="0"/>
        <w:keepLines w:val="0"/>
        <w:pageBreakBefore w:val="0"/>
        <w:widowControl/>
        <w:kinsoku w:val="0"/>
        <w:wordWrap/>
        <w:overflowPunct/>
        <w:topLinePunct w:val="0"/>
        <w:autoSpaceDE w:val="0"/>
        <w:autoSpaceDN w:val="0"/>
        <w:bidi w:val="0"/>
        <w:adjustRightInd w:val="0"/>
        <w:snapToGrid w:val="0"/>
        <w:spacing w:before="286" w:line="341" w:lineRule="auto"/>
        <w:ind w:left="24" w:right="122" w:firstLine="629"/>
        <w:textAlignment w:val="baseline"/>
        <w:rPr>
          <w:spacing w:val="8"/>
        </w:rPr>
      </w:pPr>
      <w:r>
        <w:rPr>
          <w:rFonts w:hint="eastAsia" w:ascii="黑体" w:hAnsi="黑体" w:eastAsia="黑体" w:cs="黑体"/>
          <w:b/>
          <w:bCs/>
          <w:spacing w:val="8"/>
        </w:rPr>
        <w:t>第一条</w:t>
      </w:r>
      <w:r>
        <w:rPr>
          <w:spacing w:val="8"/>
        </w:rPr>
        <w:t xml:space="preserve"> 为进一步深化房屋建筑和市政基础设施工程领 域招标投标改革，落实招标人主体责任，更好激发市场主体 活力，推动建筑业高质量发展，根据《住房和城乡建设部关 于进一步加强房屋建筑和市政基础设施工程招标投标监管 的指导意见》(建市规〔2019〕11号)、《</w:t>
      </w:r>
      <w:r>
        <w:rPr>
          <w:rFonts w:hint="eastAsia"/>
          <w:spacing w:val="8"/>
          <w:lang w:eastAsia="zh-CN"/>
        </w:rPr>
        <w:t>江西省房屋建筑和市政基础设施工程招标投标管理办法</w:t>
      </w:r>
      <w:r>
        <w:rPr>
          <w:spacing w:val="8"/>
        </w:rPr>
        <w:t>》(</w:t>
      </w:r>
      <w:r>
        <w:rPr>
          <w:rFonts w:hint="eastAsia"/>
          <w:spacing w:val="8"/>
          <w:lang w:eastAsia="zh-CN"/>
        </w:rPr>
        <w:t>赣建字</w:t>
      </w:r>
      <w:r>
        <w:rPr>
          <w:spacing w:val="8"/>
        </w:rPr>
        <w:t>〔202</w:t>
      </w:r>
      <w:r>
        <w:rPr>
          <w:rFonts w:hint="eastAsia"/>
          <w:spacing w:val="8"/>
          <w:lang w:val="en-US" w:eastAsia="zh-CN"/>
        </w:rPr>
        <w:t>5</w:t>
      </w:r>
      <w:r>
        <w:rPr>
          <w:spacing w:val="8"/>
        </w:rPr>
        <w:t>〕5号)文件精神，结合我</w:t>
      </w:r>
      <w:r>
        <w:rPr>
          <w:rFonts w:hint="eastAsia"/>
          <w:spacing w:val="8"/>
          <w:lang w:eastAsia="zh-CN"/>
        </w:rPr>
        <w:t>区</w:t>
      </w:r>
      <w:r>
        <w:rPr>
          <w:spacing w:val="8"/>
        </w:rPr>
        <w:t>房屋建筑和市政基础设施工程实际，制定本细则。</w:t>
      </w:r>
    </w:p>
    <w:p w14:paraId="233BAE6C">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rPr>
        <w:t>第二条</w:t>
      </w:r>
      <w:r>
        <w:rPr>
          <w:spacing w:val="8"/>
        </w:rPr>
        <w:t xml:space="preserve"> 本细则所称“评定分离”是指招标人依法组建的评标委员会根据招标文件规定的评标标准和办法对投标文件进行评审后，向招标人推荐一定数量不排序的定标候选人，并出具评审报告</w:t>
      </w:r>
      <w:r>
        <w:rPr>
          <w:rFonts w:hint="eastAsia"/>
          <w:spacing w:val="8"/>
          <w:lang w:eastAsia="zh-CN"/>
        </w:rPr>
        <w:t>。</w:t>
      </w:r>
      <w:r>
        <w:rPr>
          <w:spacing w:val="8"/>
        </w:rPr>
        <w:t>再由招标人组建的定标委员会在评标委员会评审的基础上，根据招标文件规定的程序和方法，在定标候选人中择优确定中标人。</w:t>
      </w:r>
    </w:p>
    <w:p w14:paraId="6D7F5AAF">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rFonts w:hint="eastAsia"/>
          <w:spacing w:val="8"/>
          <w:lang w:eastAsia="zh-CN"/>
        </w:rPr>
      </w:pPr>
      <w:r>
        <w:rPr>
          <w:rFonts w:hint="eastAsia" w:ascii="黑体" w:hAnsi="黑体" w:eastAsia="黑体" w:cs="黑体"/>
          <w:b/>
          <w:bCs/>
          <w:spacing w:val="8"/>
        </w:rPr>
        <w:t>第三条</w:t>
      </w:r>
      <w:r>
        <w:rPr>
          <w:spacing w:val="8"/>
        </w:rPr>
        <w:t xml:space="preserve"> </w:t>
      </w:r>
      <w:r>
        <w:rPr>
          <w:rFonts w:hint="eastAsia"/>
          <w:spacing w:val="8"/>
          <w:lang w:eastAsia="zh-CN"/>
        </w:rPr>
        <w:t>全区采用政府投资房屋建筑和市政设施工程招标可以采用“评定分离”方法。</w:t>
      </w:r>
    </w:p>
    <w:p w14:paraId="39C6F987">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rFonts w:hint="eastAsia"/>
          <w:spacing w:val="8"/>
          <w:lang w:eastAsia="zh-CN"/>
        </w:rPr>
      </w:pPr>
      <w:r>
        <w:rPr>
          <w:rFonts w:hint="eastAsia"/>
          <w:spacing w:val="8"/>
          <w:lang w:eastAsia="zh-CN"/>
        </w:rPr>
        <w:t>如采用评定分离方法，原则上需将采用评定分离招标方式、招标方案、定标方案等上报政府常务会审议通过后实施。</w:t>
      </w:r>
    </w:p>
    <w:p w14:paraId="6E7E0DEC">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rPr>
        <w:t>第</w:t>
      </w:r>
      <w:r>
        <w:rPr>
          <w:rFonts w:hint="eastAsia" w:ascii="黑体" w:hAnsi="黑体" w:eastAsia="黑体" w:cs="黑体"/>
          <w:b/>
          <w:bCs/>
          <w:spacing w:val="8"/>
          <w:lang w:eastAsia="zh-CN"/>
        </w:rPr>
        <w:t>四</w:t>
      </w:r>
      <w:r>
        <w:rPr>
          <w:rFonts w:hint="eastAsia" w:ascii="黑体" w:hAnsi="黑体" w:eastAsia="黑体" w:cs="黑体"/>
          <w:b/>
          <w:bCs/>
          <w:spacing w:val="8"/>
        </w:rPr>
        <w:t>条</w:t>
      </w:r>
      <w:r>
        <w:rPr>
          <w:rFonts w:hint="eastAsia"/>
          <w:spacing w:val="8"/>
          <w:lang w:val="en-US" w:eastAsia="zh-CN"/>
        </w:rPr>
        <w:t xml:space="preserve"> </w:t>
      </w:r>
      <w:r>
        <w:rPr>
          <w:spacing w:val="8"/>
        </w:rPr>
        <w:t>招标人应当遵守法律法规规定，按照公开、公平、公正和择优的原则开展招标活动，对招标评标定标过程及其结果承担主体责任。</w:t>
      </w:r>
    </w:p>
    <w:p w14:paraId="09A31278">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lang w:val="en-US" w:eastAsia="en-US"/>
        </w:rPr>
      </w:pPr>
      <w:r>
        <w:rPr>
          <w:rFonts w:hint="eastAsia" w:ascii="黑体" w:hAnsi="黑体" w:eastAsia="黑体" w:cs="黑体"/>
          <w:b/>
          <w:bCs/>
          <w:spacing w:val="8"/>
          <w:lang w:val="en-US" w:eastAsia="en-US"/>
        </w:rPr>
        <w:t>第</w:t>
      </w:r>
      <w:r>
        <w:rPr>
          <w:rFonts w:hint="eastAsia" w:ascii="黑体" w:hAnsi="黑体" w:eastAsia="黑体" w:cs="黑体"/>
          <w:b/>
          <w:bCs/>
          <w:spacing w:val="8"/>
          <w:lang w:val="en-US" w:eastAsia="zh-CN"/>
        </w:rPr>
        <w:t>五</w:t>
      </w:r>
      <w:r>
        <w:rPr>
          <w:rFonts w:hint="eastAsia" w:ascii="黑体" w:hAnsi="黑体" w:eastAsia="黑体" w:cs="黑体"/>
          <w:b/>
          <w:bCs/>
          <w:spacing w:val="8"/>
          <w:lang w:val="en-US" w:eastAsia="en-US"/>
        </w:rPr>
        <w:t>条</w:t>
      </w:r>
      <w:r>
        <w:rPr>
          <w:spacing w:val="8"/>
        </w:rPr>
        <w:t xml:space="preserve"> </w:t>
      </w:r>
      <w:r>
        <w:rPr>
          <w:spacing w:val="8"/>
          <w:lang w:val="en-US" w:eastAsia="en-US"/>
        </w:rPr>
        <w:t>招标人应当根据建设工程实际及招标需求，编制招标文件。资格审查的条件、标准和方法按现行法律法规文件规定执行，评标办法、定标规则及定标候选人的数量等事项应在招标文件中明确。</w:t>
      </w:r>
    </w:p>
    <w:p w14:paraId="4ABB6CD8">
      <w:pPr>
        <w:keepNext w:val="0"/>
        <w:keepLines w:val="0"/>
        <w:pageBreakBefore w:val="0"/>
        <w:widowControl/>
        <w:kinsoku w:val="0"/>
        <w:wordWrap/>
        <w:overflowPunct/>
        <w:topLinePunct w:val="0"/>
        <w:autoSpaceDE w:val="0"/>
        <w:autoSpaceDN w:val="0"/>
        <w:bidi w:val="0"/>
        <w:adjustRightInd w:val="0"/>
        <w:snapToGrid w:val="0"/>
        <w:spacing w:before="101" w:line="341" w:lineRule="auto"/>
        <w:ind w:left="3199"/>
        <w:textAlignment w:val="baseline"/>
        <w:outlineLvl w:val="2"/>
        <w:rPr>
          <w:rFonts w:ascii="黑体" w:hAnsi="黑体" w:eastAsia="黑体" w:cs="黑体"/>
          <w:b/>
          <w:bCs/>
          <w:spacing w:val="3"/>
          <w:sz w:val="31"/>
          <w:szCs w:val="31"/>
        </w:rPr>
      </w:pPr>
      <w:r>
        <w:rPr>
          <w:rFonts w:ascii="黑体" w:hAnsi="黑体" w:eastAsia="黑体" w:cs="黑体"/>
          <w:b/>
          <w:bCs/>
          <w:spacing w:val="3"/>
          <w:sz w:val="31"/>
          <w:szCs w:val="31"/>
        </w:rPr>
        <w:t>第</w:t>
      </w:r>
      <w:r>
        <w:rPr>
          <w:rFonts w:hint="eastAsia" w:ascii="黑体" w:hAnsi="黑体" w:eastAsia="黑体" w:cs="黑体"/>
          <w:b/>
          <w:bCs/>
          <w:spacing w:val="3"/>
          <w:sz w:val="31"/>
          <w:szCs w:val="31"/>
          <w:lang w:val="en-US" w:eastAsia="zh-CN"/>
        </w:rPr>
        <w:t>二</w:t>
      </w:r>
      <w:r>
        <w:rPr>
          <w:rFonts w:ascii="黑体" w:hAnsi="黑体" w:eastAsia="黑体" w:cs="黑体"/>
          <w:b/>
          <w:bCs/>
          <w:spacing w:val="3"/>
          <w:sz w:val="31"/>
          <w:szCs w:val="31"/>
        </w:rPr>
        <w:t>章</w:t>
      </w:r>
      <w:r>
        <w:rPr>
          <w:rFonts w:hint="eastAsia" w:ascii="黑体" w:hAnsi="黑体" w:eastAsia="黑体" w:cs="黑体"/>
          <w:b/>
          <w:bCs/>
          <w:spacing w:val="3"/>
          <w:sz w:val="31"/>
          <w:szCs w:val="31"/>
          <w:lang w:val="en-US" w:eastAsia="zh-CN"/>
        </w:rPr>
        <w:t xml:space="preserve"> </w:t>
      </w:r>
      <w:r>
        <w:rPr>
          <w:rFonts w:ascii="黑体" w:hAnsi="黑体" w:eastAsia="黑体" w:cs="黑体"/>
          <w:b/>
          <w:bCs/>
          <w:spacing w:val="3"/>
          <w:sz w:val="31"/>
          <w:szCs w:val="31"/>
        </w:rPr>
        <w:t>评标</w:t>
      </w:r>
    </w:p>
    <w:p w14:paraId="71D9C3FA">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rFonts w:hint="default"/>
          <w:spacing w:val="8"/>
          <w:lang w:val="en-US" w:eastAsia="en-US"/>
        </w:rPr>
      </w:pPr>
      <w:r>
        <w:rPr>
          <w:rFonts w:hint="eastAsia" w:ascii="黑体" w:hAnsi="黑体" w:eastAsia="黑体" w:cs="黑体"/>
          <w:b/>
          <w:bCs/>
          <w:spacing w:val="8"/>
          <w:lang w:val="en-US" w:eastAsia="en-US"/>
        </w:rPr>
        <w:t>第</w:t>
      </w:r>
      <w:r>
        <w:rPr>
          <w:rFonts w:hint="eastAsia" w:ascii="黑体" w:hAnsi="黑体" w:eastAsia="黑体" w:cs="黑体"/>
          <w:b/>
          <w:bCs/>
          <w:spacing w:val="8"/>
          <w:lang w:val="en-US" w:eastAsia="zh-CN"/>
        </w:rPr>
        <w:t>六</w:t>
      </w:r>
      <w:r>
        <w:rPr>
          <w:rFonts w:hint="eastAsia" w:ascii="黑体" w:hAnsi="黑体" w:eastAsia="黑体" w:cs="黑体"/>
          <w:b/>
          <w:bCs/>
          <w:spacing w:val="8"/>
          <w:lang w:val="en-US" w:eastAsia="en-US"/>
        </w:rPr>
        <w:t>条</w:t>
      </w:r>
      <w:r>
        <w:rPr>
          <w:spacing w:val="8"/>
        </w:rPr>
        <w:t xml:space="preserve"> </w:t>
      </w:r>
      <w:r>
        <w:rPr>
          <w:rFonts w:hint="default"/>
          <w:spacing w:val="8"/>
          <w:lang w:val="en-US" w:eastAsia="en-US"/>
        </w:rPr>
        <w:t>评标委员会在评标活动中履行以下职责：</w:t>
      </w:r>
    </w:p>
    <w:p w14:paraId="40BE8139">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rFonts w:hint="default"/>
          <w:spacing w:val="8"/>
          <w:lang w:val="en-US" w:eastAsia="en-US"/>
        </w:rPr>
      </w:pPr>
      <w:r>
        <w:rPr>
          <w:rFonts w:hint="default"/>
          <w:spacing w:val="8"/>
          <w:lang w:val="en-US" w:eastAsia="en-US"/>
        </w:rPr>
        <w:t>（一）按照招标文件规定的标准和方法完成对所有投标文件的评审。</w:t>
      </w:r>
    </w:p>
    <w:p w14:paraId="2DB1FD05">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rFonts w:hint="default"/>
          <w:spacing w:val="8"/>
          <w:lang w:val="en-US" w:eastAsia="en-US"/>
        </w:rPr>
      </w:pPr>
      <w:r>
        <w:rPr>
          <w:rFonts w:hint="default"/>
          <w:spacing w:val="8"/>
          <w:lang w:val="en-US" w:eastAsia="en-US"/>
        </w:rPr>
        <w:t>（二）向招标人推荐招标文件规定数量的中标候选人。投标人数量少于或等于10家时，评标委员会推荐的中标候选人数量不超过3家（含3家），投标人数量多于10家时，推荐的中标候选人数量不超过5家（含5家）。</w:t>
      </w:r>
    </w:p>
    <w:p w14:paraId="3DA66802">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rFonts w:hint="default"/>
          <w:spacing w:val="8"/>
          <w:lang w:val="en-US" w:eastAsia="en-US"/>
        </w:rPr>
      </w:pPr>
      <w:r>
        <w:rPr>
          <w:rFonts w:hint="default"/>
          <w:spacing w:val="8"/>
          <w:lang w:val="en-US" w:eastAsia="en-US"/>
        </w:rPr>
        <w:t>（三）评标委员会推荐的中标候选人应当明确不排序，并根据项目需要，招标人可以在招标文件中要求评标委员会在评标报告评审结论中对每个中标候选人的优势、不足、风险等情况进行相关说明。</w:t>
      </w:r>
    </w:p>
    <w:p w14:paraId="5C2459CE">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rFonts w:hint="default"/>
          <w:spacing w:val="8"/>
          <w:lang w:val="en-US" w:eastAsia="en-US"/>
        </w:rPr>
      </w:pPr>
      <w:r>
        <w:rPr>
          <w:rFonts w:hint="default"/>
          <w:spacing w:val="8"/>
          <w:lang w:val="en-US" w:eastAsia="en-US"/>
        </w:rPr>
        <w:t>（四）评标委员会成员对评审结论存在分歧的，应当在评标报告中客观记录评标中的分歧意见。</w:t>
      </w:r>
    </w:p>
    <w:p w14:paraId="419F6CE3">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rFonts w:hint="default"/>
          <w:spacing w:val="8"/>
          <w:lang w:val="en-US" w:eastAsia="en-US"/>
        </w:rPr>
      </w:pPr>
      <w:r>
        <w:rPr>
          <w:rFonts w:hint="default"/>
          <w:spacing w:val="8"/>
          <w:lang w:val="en-US" w:eastAsia="en-US"/>
        </w:rPr>
        <w:t>（五）评标委员会组长可应招标人邀请列席定标会议，向定标委员会介绍评标和中标候选人推荐情况。</w:t>
      </w:r>
    </w:p>
    <w:p w14:paraId="58D6369C">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rPr>
        <w:t>第</w:t>
      </w:r>
      <w:r>
        <w:rPr>
          <w:rFonts w:hint="eastAsia" w:ascii="黑体" w:hAnsi="黑体" w:eastAsia="黑体" w:cs="黑体"/>
          <w:b/>
          <w:bCs/>
          <w:spacing w:val="8"/>
          <w:lang w:val="en-US" w:eastAsia="zh-CN"/>
        </w:rPr>
        <w:t>七</w:t>
      </w:r>
      <w:r>
        <w:rPr>
          <w:rFonts w:hint="eastAsia" w:ascii="黑体" w:hAnsi="黑体" w:eastAsia="黑体" w:cs="黑体"/>
          <w:b/>
          <w:bCs/>
          <w:spacing w:val="8"/>
        </w:rPr>
        <w:t>条</w:t>
      </w:r>
      <w:r>
        <w:rPr>
          <w:spacing w:val="8"/>
        </w:rPr>
        <w:t xml:space="preserve"> 评标委员会完成评标后，应当向招标人提交 书面评标报告。评标报告应当由全体评标委员会成员签字。 评标报告应当包括以下内容：</w:t>
      </w:r>
    </w:p>
    <w:p w14:paraId="6E6F29DE">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(一)评标委员会成员名单；</w:t>
      </w:r>
    </w:p>
    <w:p w14:paraId="75D7C078">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(二)开标记录；</w:t>
      </w:r>
    </w:p>
    <w:p w14:paraId="035838D9">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(三)废标情况说明(如有);</w:t>
      </w:r>
    </w:p>
    <w:p w14:paraId="53A30BB0">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(四)推荐的定标候选人名单(按定标候选人名称的拼 音顺序排序，不分先后);</w:t>
      </w:r>
    </w:p>
    <w:p w14:paraId="1981500D">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w:t>
      </w:r>
      <w:r>
        <w:rPr>
          <w:rFonts w:hint="eastAsia"/>
          <w:spacing w:val="8"/>
          <w:lang w:val="en-US" w:eastAsia="zh-CN"/>
        </w:rPr>
        <w:t>五</w:t>
      </w:r>
      <w:r>
        <w:rPr>
          <w:spacing w:val="8"/>
        </w:rPr>
        <w:t>)澄清、说明、补正事项纪要。</w:t>
      </w:r>
    </w:p>
    <w:p w14:paraId="0C18364A">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rPr>
        <w:t>第</w:t>
      </w:r>
      <w:r>
        <w:rPr>
          <w:rFonts w:hint="eastAsia" w:ascii="黑体" w:hAnsi="黑体" w:eastAsia="黑体" w:cs="黑体"/>
          <w:b/>
          <w:bCs/>
          <w:spacing w:val="8"/>
          <w:lang w:eastAsia="zh-CN"/>
        </w:rPr>
        <w:t>八</w:t>
      </w:r>
      <w:r>
        <w:rPr>
          <w:rFonts w:hint="eastAsia" w:ascii="黑体" w:hAnsi="黑体" w:eastAsia="黑体" w:cs="黑体"/>
          <w:b/>
          <w:bCs/>
          <w:spacing w:val="8"/>
        </w:rPr>
        <w:t>条</w:t>
      </w:r>
      <w:r>
        <w:rPr>
          <w:spacing w:val="8"/>
        </w:rPr>
        <w:t xml:space="preserve"> 招标人应当自收到评标报告之日起3日内公示定标候选人，定标候选人排名不分先后，按定标候选人名称的拼音顺序排序，公示期不少于3日。投标人或者其他利害关系人对评标结果有异议的，应当在定标候选人公示期间提出。招标人应当自收到异议之日起3日内作出答复；作出答复前，应当暂停招标投标活动。</w:t>
      </w:r>
    </w:p>
    <w:p w14:paraId="35384D43">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0"/>
        <w:textAlignment w:val="baseline"/>
        <w:rPr>
          <w:spacing w:val="8"/>
        </w:rPr>
      </w:pPr>
      <w:r>
        <w:rPr>
          <w:rFonts w:hint="eastAsia"/>
          <w:spacing w:val="8"/>
          <w:lang w:val="en-US" w:eastAsia="zh-CN"/>
        </w:rPr>
        <w:t xml:space="preserve">   </w:t>
      </w:r>
      <w:r>
        <w:rPr>
          <w:rFonts w:hint="eastAsia" w:ascii="黑体" w:hAnsi="黑体" w:eastAsia="黑体" w:cs="黑体"/>
          <w:b/>
          <w:bCs/>
          <w:spacing w:val="8"/>
          <w:lang w:val="en-US" w:eastAsia="en-US"/>
        </w:rPr>
        <w:t>第</w:t>
      </w:r>
      <w:r>
        <w:rPr>
          <w:rFonts w:hint="eastAsia" w:ascii="黑体" w:hAnsi="黑体" w:eastAsia="黑体" w:cs="黑体"/>
          <w:b/>
          <w:bCs/>
          <w:spacing w:val="8"/>
          <w:lang w:val="en-US" w:eastAsia="zh-CN"/>
        </w:rPr>
        <w:t>九</w:t>
      </w:r>
      <w:r>
        <w:rPr>
          <w:rFonts w:hint="eastAsia" w:ascii="黑体" w:hAnsi="黑体" w:eastAsia="黑体" w:cs="黑体"/>
          <w:b/>
          <w:bCs/>
          <w:spacing w:val="8"/>
          <w:lang w:val="en-US" w:eastAsia="en-US"/>
        </w:rPr>
        <w:t>条</w:t>
      </w:r>
      <w:r>
        <w:rPr>
          <w:spacing w:val="8"/>
        </w:rPr>
        <w:t xml:space="preserve"> </w:t>
      </w:r>
      <w:r>
        <w:rPr>
          <w:spacing w:val="8"/>
          <w:lang w:val="en-US" w:eastAsia="en-US"/>
        </w:rPr>
        <w:t>对异议答复不服或有法定理由且在投诉期内的，投标人或者其他利害关系人可向属地建设行政主管部门投诉，投诉应当有明确的请求和必要的证明材料。</w:t>
      </w:r>
      <w:r>
        <w:rPr>
          <w:rFonts w:hint="eastAsia"/>
          <w:spacing w:val="8"/>
          <w:lang w:val="en-US" w:eastAsia="zh-CN"/>
        </w:rPr>
        <w:t>依照《</w:t>
      </w:r>
      <w:r>
        <w:rPr>
          <w:rFonts w:hint="eastAsia"/>
          <w:spacing w:val="8"/>
          <w:lang w:val="en-US" w:eastAsia="en-US"/>
        </w:rPr>
        <w:t>关于规范全省房屋建筑和市政基础设施工程招标投标活动异议与投诉处理实施意见</w:t>
      </w:r>
      <w:r>
        <w:rPr>
          <w:rFonts w:hint="eastAsia"/>
          <w:spacing w:val="8"/>
          <w:lang w:val="en-US" w:eastAsia="zh-CN"/>
        </w:rPr>
        <w:t>》（</w:t>
      </w:r>
      <w:r>
        <w:rPr>
          <w:rFonts w:hint="eastAsia"/>
          <w:spacing w:val="8"/>
          <w:lang w:val="en-US" w:eastAsia="en-US"/>
        </w:rPr>
        <w:t>赣建招〔2017〕13号</w:t>
      </w:r>
      <w:r>
        <w:rPr>
          <w:rFonts w:hint="eastAsia"/>
          <w:spacing w:val="8"/>
          <w:lang w:val="en-US" w:eastAsia="zh-CN"/>
        </w:rPr>
        <w:t>文件执行）</w:t>
      </w:r>
      <w:r>
        <w:rPr>
          <w:spacing w:val="8"/>
          <w:lang w:val="en-US" w:eastAsia="en-US"/>
        </w:rPr>
        <w:t>因异议、投诉等原因导致定标候选人少于招标文件规定的数量时，招标人可以在余下的备选单位中继续定标，也可以重新招</w:t>
      </w:r>
      <w:r>
        <w:rPr>
          <w:rFonts w:hint="eastAsia"/>
          <w:spacing w:val="8"/>
          <w:lang w:val="en-US" w:eastAsia="zh-CN"/>
        </w:rPr>
        <w:t>标</w:t>
      </w:r>
      <w:r>
        <w:rPr>
          <w:spacing w:val="8"/>
          <w:lang w:val="en-US" w:eastAsia="en-US"/>
        </w:rPr>
        <w:t>。</w:t>
      </w:r>
    </w:p>
    <w:p w14:paraId="7BF32073">
      <w:pPr>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0"/>
        <w:jc w:val="center"/>
        <w:textAlignment w:val="baseline"/>
        <w:outlineLvl w:val="2"/>
        <w:rPr>
          <w:rFonts w:hint="default" w:ascii="黑体" w:hAnsi="黑体" w:eastAsia="黑体" w:cs="黑体"/>
          <w:b/>
          <w:bCs/>
          <w:spacing w:val="3"/>
          <w:sz w:val="31"/>
          <w:szCs w:val="31"/>
          <w:lang w:val="en-US" w:eastAsia="en-US"/>
        </w:rPr>
      </w:pPr>
      <w:r>
        <w:rPr>
          <w:rFonts w:ascii="黑体" w:hAnsi="黑体" w:eastAsia="黑体" w:cs="黑体"/>
          <w:b/>
          <w:bCs/>
          <w:spacing w:val="3"/>
          <w:sz w:val="31"/>
          <w:szCs w:val="31"/>
        </w:rPr>
        <w:t>第</w:t>
      </w:r>
      <w:r>
        <w:rPr>
          <w:rFonts w:hint="eastAsia" w:ascii="黑体" w:hAnsi="黑体" w:eastAsia="黑体" w:cs="黑体"/>
          <w:b/>
          <w:bCs/>
          <w:spacing w:val="3"/>
          <w:sz w:val="31"/>
          <w:szCs w:val="31"/>
          <w:lang w:val="en-US" w:eastAsia="zh-CN"/>
        </w:rPr>
        <w:t>三</w:t>
      </w:r>
      <w:r>
        <w:rPr>
          <w:rFonts w:ascii="黑体" w:hAnsi="黑体" w:eastAsia="黑体" w:cs="黑体"/>
          <w:b/>
          <w:bCs/>
          <w:spacing w:val="3"/>
          <w:sz w:val="31"/>
          <w:szCs w:val="31"/>
        </w:rPr>
        <w:t>章  定标</w:t>
      </w:r>
    </w:p>
    <w:p w14:paraId="14728D55">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rPr>
        <w:t>第十条</w:t>
      </w:r>
      <w:r>
        <w:rPr>
          <w:spacing w:val="8"/>
        </w:rPr>
        <w:t xml:space="preserve"> 定标工作应在定标候选人公示期满后7 日内 完成，如招标人要对定标候选人进行考察的，可适当延长， 但不得超过公示期满后10日。</w:t>
      </w:r>
    </w:p>
    <w:p w14:paraId="62537302">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rPr>
        <w:t>第十</w:t>
      </w:r>
      <w:r>
        <w:rPr>
          <w:rFonts w:hint="eastAsia" w:ascii="黑体" w:hAnsi="黑体" w:eastAsia="黑体" w:cs="黑体"/>
          <w:b/>
          <w:bCs/>
          <w:spacing w:val="8"/>
          <w:lang w:val="en-US" w:eastAsia="zh-CN"/>
        </w:rPr>
        <w:t>一</w:t>
      </w:r>
      <w:r>
        <w:rPr>
          <w:rFonts w:hint="eastAsia" w:ascii="黑体" w:hAnsi="黑体" w:eastAsia="黑体" w:cs="黑体"/>
          <w:b/>
          <w:bCs/>
          <w:spacing w:val="8"/>
        </w:rPr>
        <w:t>条</w:t>
      </w:r>
      <w:r>
        <w:rPr>
          <w:spacing w:val="8"/>
        </w:rPr>
        <w:t xml:space="preserve"> 招标人在定标会议前可以对定标候选人进行 考察、质询，考察、质询报告作为定标辅助材料。招标人可以考察定标候选人拟派团队的履约能力、过往合同履约情况、工程奖项、过往项目业主评价等；也可以考察团队主要负责人(设计负责人、总监理工程师、项目经理)过往工程业绩情况。招标人还可以通过陈述、答辩等方式对团队主要负责人的工作能力、管理水平和职业素养进行考察、质询。招标文件中应明确是否需要对定标候选人进行考察、质询，以及考察、质询的内容，并且应对所有定标候选人进行考察、质询 。</w:t>
      </w:r>
    </w:p>
    <w:p w14:paraId="57505FF2">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rFonts w:hint="default"/>
          <w:spacing w:val="8"/>
          <w:lang w:val="en-US" w:eastAsia="zh-CN"/>
        </w:rPr>
      </w:pPr>
      <w:r>
        <w:rPr>
          <w:rFonts w:hint="eastAsia" w:ascii="黑体" w:hAnsi="黑体" w:eastAsia="黑体" w:cs="黑体"/>
          <w:b/>
          <w:bCs/>
          <w:spacing w:val="8"/>
        </w:rPr>
        <w:t>第十</w:t>
      </w:r>
      <w:r>
        <w:rPr>
          <w:rFonts w:hint="eastAsia" w:ascii="黑体" w:hAnsi="黑体" w:eastAsia="黑体" w:cs="黑体"/>
          <w:b/>
          <w:bCs/>
          <w:spacing w:val="8"/>
          <w:lang w:val="en-US" w:eastAsia="zh-CN"/>
        </w:rPr>
        <w:t>二</w:t>
      </w:r>
      <w:r>
        <w:rPr>
          <w:rFonts w:hint="eastAsia" w:ascii="黑体" w:hAnsi="黑体" w:eastAsia="黑体" w:cs="黑体"/>
          <w:b/>
          <w:bCs/>
          <w:spacing w:val="8"/>
        </w:rPr>
        <w:t>条</w:t>
      </w:r>
      <w:r>
        <w:rPr>
          <w:rFonts w:hint="eastAsia"/>
          <w:spacing w:val="8"/>
          <w:lang w:val="en-US" w:eastAsia="zh-CN"/>
        </w:rPr>
        <w:t xml:space="preserve"> </w:t>
      </w:r>
      <w:r>
        <w:rPr>
          <w:spacing w:val="8"/>
        </w:rPr>
        <w:t>招标人应当组建定标监督小组对定标过程进行见证监督，成员人数不少于1人。定标监督小组应对定标全过程进行监督，及时指出、制止违反程序及纪律的行为，但不得就定标涉及的实质内容发表意见或者参与定标委员会的讨论。特殊情况导致定标无法继续进行的，定标过程中相关人员存在违反程序及纪律的行为被指出后仍拒绝纠正的，定标监督小组应当及时报告行政监督部门。定标监督小组成员</w:t>
      </w:r>
      <w:r>
        <w:rPr>
          <w:rFonts w:hint="eastAsia"/>
          <w:spacing w:val="8"/>
          <w:lang w:val="en-US" w:eastAsia="zh-CN"/>
        </w:rPr>
        <w:t>可由以下人员构成：</w:t>
      </w:r>
      <w:r>
        <w:rPr>
          <w:spacing w:val="8"/>
        </w:rPr>
        <w:t>招标人本单位或上级单位纪检监察人员或审计人员、工程建设领域相关专业技术人员及职工代表。</w:t>
      </w:r>
    </w:p>
    <w:p w14:paraId="41A9F481">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lang w:val="en-US" w:eastAsia="en-US"/>
        </w:rPr>
      </w:pPr>
      <w:r>
        <w:rPr>
          <w:rFonts w:hint="eastAsia" w:ascii="黑体" w:hAnsi="黑体" w:eastAsia="黑体" w:cs="黑体"/>
          <w:b/>
          <w:bCs/>
          <w:spacing w:val="8"/>
          <w:lang w:val="en-US" w:eastAsia="en-US"/>
        </w:rPr>
        <w:t>第十</w:t>
      </w:r>
      <w:r>
        <w:rPr>
          <w:rFonts w:hint="eastAsia" w:ascii="黑体" w:hAnsi="黑体" w:eastAsia="黑体" w:cs="黑体"/>
          <w:b/>
          <w:bCs/>
          <w:spacing w:val="8"/>
          <w:lang w:val="en-US" w:eastAsia="zh-CN"/>
        </w:rPr>
        <w:t>三</w:t>
      </w:r>
      <w:r>
        <w:rPr>
          <w:rFonts w:hint="eastAsia" w:ascii="黑体" w:hAnsi="黑体" w:eastAsia="黑体" w:cs="黑体"/>
          <w:b/>
          <w:bCs/>
          <w:spacing w:val="8"/>
          <w:lang w:val="en-US" w:eastAsia="en-US"/>
        </w:rPr>
        <w:t>条</w:t>
      </w:r>
      <w:r>
        <w:rPr>
          <w:rFonts w:hint="eastAsia"/>
          <w:spacing w:val="8"/>
          <w:lang w:val="en-US" w:eastAsia="zh-CN"/>
        </w:rPr>
        <w:t xml:space="preserve"> </w:t>
      </w:r>
      <w:r>
        <w:rPr>
          <w:spacing w:val="8"/>
          <w:lang w:val="en-US" w:eastAsia="zh-CN"/>
        </w:rPr>
        <w:t>招标人可按照“三重一大”或者由定标小组确定中标人，</w:t>
      </w:r>
      <w:r>
        <w:rPr>
          <w:rFonts w:hint="eastAsia"/>
          <w:spacing w:val="8"/>
          <w:lang w:val="en-US" w:eastAsia="zh-CN"/>
        </w:rPr>
        <w:t>定标方式应当事先在招标文件中明确。</w:t>
      </w:r>
    </w:p>
    <w:p w14:paraId="5131E4F2">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rPr>
        <w:t>第十</w:t>
      </w:r>
      <w:r>
        <w:rPr>
          <w:rFonts w:hint="eastAsia" w:ascii="黑体" w:hAnsi="黑体" w:eastAsia="黑体" w:cs="黑体"/>
          <w:b/>
          <w:bCs/>
          <w:spacing w:val="8"/>
          <w:lang w:val="en-US" w:eastAsia="zh-CN"/>
        </w:rPr>
        <w:t>四</w:t>
      </w:r>
      <w:r>
        <w:rPr>
          <w:rFonts w:hint="eastAsia" w:ascii="黑体" w:hAnsi="黑体" w:eastAsia="黑体" w:cs="黑体"/>
          <w:b/>
          <w:bCs/>
          <w:spacing w:val="8"/>
        </w:rPr>
        <w:t>条</w:t>
      </w:r>
      <w:r>
        <w:rPr>
          <w:rFonts w:hint="eastAsia"/>
          <w:spacing w:val="8"/>
          <w:lang w:val="en-US" w:eastAsia="zh-CN"/>
        </w:rPr>
        <w:t xml:space="preserve"> </w:t>
      </w:r>
      <w:r>
        <w:rPr>
          <w:spacing w:val="8"/>
        </w:rPr>
        <w:t>组建定标委员会成员库</w:t>
      </w:r>
    </w:p>
    <w:p w14:paraId="6E41D200">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0"/>
        <w:textAlignment w:val="baseline"/>
        <w:rPr>
          <w:spacing w:val="8"/>
        </w:rPr>
      </w:pPr>
      <w:r>
        <w:rPr>
          <w:spacing w:val="8"/>
        </w:rPr>
        <w:t>定标委员会成员库由区建设行政主管部门(区住建局)负责组建，有效期一年，期满后一年一更新，各部门负责定标委员会成员的更新和培训等工作。选派人员原则上为本部门正式工作人员，不得委派外部技术专家。定标委员会成员库成员名单如下：</w:t>
      </w:r>
    </w:p>
    <w:p w14:paraId="20D03A8B">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0"/>
        <w:textAlignment w:val="baseline"/>
        <w:rPr>
          <w:spacing w:val="8"/>
        </w:rPr>
      </w:pPr>
      <w:r>
        <w:rPr>
          <w:spacing w:val="8"/>
        </w:rPr>
        <w:t>区住建局：选派4人；       区城管局：选派3人；</w:t>
      </w:r>
    </w:p>
    <w:p w14:paraId="5D6D08B1">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0"/>
        <w:textAlignment w:val="baseline"/>
        <w:rPr>
          <w:spacing w:val="8"/>
        </w:rPr>
      </w:pPr>
      <w:r>
        <w:rPr>
          <w:spacing w:val="8"/>
        </w:rPr>
        <w:t xml:space="preserve">区财政局：选派2人；     </w:t>
      </w:r>
      <w:r>
        <w:rPr>
          <w:rFonts w:hint="eastAsia"/>
          <w:spacing w:val="8"/>
          <w:lang w:val="en-US" w:eastAsia="zh-CN"/>
        </w:rPr>
        <w:t xml:space="preserve"> </w:t>
      </w:r>
      <w:r>
        <w:rPr>
          <w:spacing w:val="8"/>
        </w:rPr>
        <w:t xml:space="preserve"> 区教体局：选派2人；</w:t>
      </w:r>
    </w:p>
    <w:p w14:paraId="67D9D093">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0"/>
        <w:textAlignment w:val="baseline"/>
        <w:rPr>
          <w:spacing w:val="8"/>
        </w:rPr>
      </w:pPr>
      <w:r>
        <w:rPr>
          <w:spacing w:val="8"/>
        </w:rPr>
        <w:t>区行政审批局：选派2人；</w:t>
      </w:r>
      <w:r>
        <w:rPr>
          <w:rFonts w:hint="eastAsia"/>
          <w:spacing w:val="8"/>
          <w:lang w:val="en-US" w:eastAsia="zh-CN"/>
        </w:rPr>
        <w:t xml:space="preserve"> </w:t>
      </w:r>
      <w:r>
        <w:rPr>
          <w:spacing w:val="8"/>
        </w:rPr>
        <w:t xml:space="preserve">  区城投公司：选派4人；</w:t>
      </w:r>
    </w:p>
    <w:p w14:paraId="0BAF8E0B">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rFonts w:hint="eastAsia"/>
          <w:spacing w:val="8"/>
          <w:lang w:val="en-US" w:eastAsia="zh-CN"/>
        </w:rPr>
      </w:pPr>
      <w:r>
        <w:rPr>
          <w:rFonts w:hint="eastAsia" w:ascii="黑体" w:hAnsi="黑体" w:eastAsia="黑体" w:cs="黑体"/>
          <w:b/>
          <w:bCs/>
          <w:spacing w:val="8"/>
          <w:lang w:val="en-US" w:eastAsia="en-US"/>
        </w:rPr>
        <w:t>第十</w:t>
      </w:r>
      <w:r>
        <w:rPr>
          <w:rFonts w:hint="eastAsia" w:ascii="黑体" w:hAnsi="黑体" w:eastAsia="黑体" w:cs="黑体"/>
          <w:b/>
          <w:bCs/>
          <w:spacing w:val="8"/>
          <w:lang w:val="en-US" w:eastAsia="zh-CN"/>
        </w:rPr>
        <w:t>五</w:t>
      </w:r>
      <w:r>
        <w:rPr>
          <w:rFonts w:hint="eastAsia" w:ascii="黑体" w:hAnsi="黑体" w:eastAsia="黑体" w:cs="黑体"/>
          <w:b/>
          <w:bCs/>
          <w:spacing w:val="8"/>
          <w:lang w:val="en-US" w:eastAsia="en-US"/>
        </w:rPr>
        <w:t>条</w:t>
      </w:r>
      <w:r>
        <w:rPr>
          <w:rFonts w:hint="eastAsia"/>
          <w:spacing w:val="8"/>
          <w:lang w:val="en-US" w:eastAsia="zh-CN"/>
        </w:rPr>
        <w:t xml:space="preserve"> </w:t>
      </w:r>
      <w:r>
        <w:rPr>
          <w:spacing w:val="8"/>
          <w:lang w:val="en-US" w:eastAsia="zh-CN"/>
        </w:rPr>
        <w:t>标人采用定标小组方式的，应当组建定标小组，成员</w:t>
      </w:r>
      <w:r>
        <w:rPr>
          <w:rFonts w:hint="eastAsia"/>
          <w:spacing w:val="8"/>
          <w:lang w:val="en-US" w:eastAsia="zh-CN"/>
        </w:rPr>
        <w:t>数量为5人以上单数。定标小组组长由招标人确定，原则上由招标人的法定代表人、主要负责人、分管负责人担任，小组成员名单可以按照“三重一大”方式确定。</w:t>
      </w:r>
    </w:p>
    <w:p w14:paraId="0054D2B8">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rFonts w:hint="eastAsia"/>
          <w:spacing w:val="8"/>
          <w:lang w:val="en-US" w:eastAsia="en-US"/>
        </w:rPr>
      </w:pPr>
      <w:r>
        <w:rPr>
          <w:rFonts w:hint="eastAsia" w:ascii="黑体" w:hAnsi="黑体" w:eastAsia="黑体" w:cs="黑体"/>
          <w:b/>
          <w:bCs/>
          <w:spacing w:val="8"/>
          <w:lang w:val="en-US" w:eastAsia="en-US"/>
        </w:rPr>
        <w:t>第十</w:t>
      </w:r>
      <w:r>
        <w:rPr>
          <w:rFonts w:hint="eastAsia" w:ascii="黑体" w:hAnsi="黑体" w:eastAsia="黑体" w:cs="黑体"/>
          <w:b/>
          <w:bCs/>
          <w:spacing w:val="8"/>
          <w:lang w:val="en-US" w:eastAsia="zh-CN"/>
        </w:rPr>
        <w:t>六</w:t>
      </w:r>
      <w:r>
        <w:rPr>
          <w:rFonts w:hint="eastAsia" w:ascii="黑体" w:hAnsi="黑体" w:eastAsia="黑体" w:cs="黑体"/>
          <w:b/>
          <w:bCs/>
          <w:spacing w:val="8"/>
          <w:lang w:val="en-US" w:eastAsia="en-US"/>
        </w:rPr>
        <w:t>条</w:t>
      </w:r>
      <w:r>
        <w:rPr>
          <w:rFonts w:hint="eastAsia"/>
          <w:spacing w:val="8"/>
          <w:lang w:val="en-US" w:eastAsia="zh-CN"/>
        </w:rPr>
        <w:t xml:space="preserve"> 招标人自主组建定标小组，定标小组成员可由以下人员构成：招标人代表、定标委员会成员库成员、江西省评标专家库专家、其他经招标人确认适合此工作人员。</w:t>
      </w:r>
    </w:p>
    <w:p w14:paraId="18DCB3D6">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lang w:val="en-US" w:eastAsia="en-US"/>
        </w:rPr>
        <w:t>第十</w:t>
      </w:r>
      <w:r>
        <w:rPr>
          <w:rFonts w:hint="eastAsia" w:ascii="黑体" w:hAnsi="黑体" w:eastAsia="黑体" w:cs="黑体"/>
          <w:b/>
          <w:bCs/>
          <w:spacing w:val="8"/>
          <w:lang w:val="en-US" w:eastAsia="zh-CN"/>
        </w:rPr>
        <w:t>七</w:t>
      </w:r>
      <w:r>
        <w:rPr>
          <w:rFonts w:hint="eastAsia" w:ascii="黑体" w:hAnsi="黑体" w:eastAsia="黑体" w:cs="黑体"/>
          <w:b/>
          <w:bCs/>
          <w:spacing w:val="8"/>
          <w:lang w:val="en-US" w:eastAsia="en-US"/>
        </w:rPr>
        <w:t>条</w:t>
      </w:r>
      <w:r>
        <w:rPr>
          <w:rFonts w:hint="eastAsia"/>
          <w:spacing w:val="8"/>
          <w:lang w:val="en-US" w:eastAsia="zh-CN"/>
        </w:rPr>
        <w:t xml:space="preserve"> </w:t>
      </w:r>
      <w:r>
        <w:rPr>
          <w:spacing w:val="8"/>
          <w:lang w:val="en-US" w:eastAsia="zh-CN"/>
        </w:rPr>
        <w:t>定标委员会成员与中标候选人有利害关系的，应</w:t>
      </w:r>
      <w:r>
        <w:rPr>
          <w:rFonts w:hint="default"/>
          <w:spacing w:val="8"/>
        </w:rPr>
        <w:t>当主动回避。回避的具体情形应当包括但不限于以下内容：</w:t>
      </w:r>
    </w:p>
    <w:p w14:paraId="483984B5">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（一）为中标候选人或者中标候选人主要负责人的近亲属；</w:t>
      </w:r>
    </w:p>
    <w:p w14:paraId="2FAE59DF">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rFonts w:hint="default"/>
          <w:spacing w:val="8"/>
        </w:rPr>
        <w:t>（二）与中标候选人有直接经济利益关系，可能影响定标公正性的；</w:t>
      </w:r>
    </w:p>
    <w:p w14:paraId="66F4C2DF">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rFonts w:hint="default"/>
          <w:spacing w:val="8"/>
        </w:rPr>
        <w:t>（三）曾因招标投标违法违规行为而受到行政处罚或刑事处罚的；</w:t>
      </w:r>
    </w:p>
    <w:p w14:paraId="60DA6F57">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rFonts w:hint="default"/>
          <w:spacing w:val="8"/>
        </w:rPr>
        <w:t>（四）行政监督部门的工作人员不得担任本部门负责监督项目的定标委员会成员。</w:t>
      </w:r>
    </w:p>
    <w:p w14:paraId="6E871E55">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lang w:val="en-US" w:eastAsia="en-US"/>
        </w:rPr>
        <w:t>第十</w:t>
      </w:r>
      <w:r>
        <w:rPr>
          <w:rFonts w:hint="eastAsia" w:ascii="黑体" w:hAnsi="黑体" w:eastAsia="黑体" w:cs="黑体"/>
          <w:b/>
          <w:bCs/>
          <w:spacing w:val="8"/>
          <w:lang w:val="en-US" w:eastAsia="zh-CN"/>
        </w:rPr>
        <w:t>八</w:t>
      </w:r>
      <w:r>
        <w:rPr>
          <w:rFonts w:hint="eastAsia" w:ascii="黑体" w:hAnsi="黑体" w:eastAsia="黑体" w:cs="黑体"/>
          <w:b/>
          <w:bCs/>
          <w:spacing w:val="8"/>
          <w:lang w:val="en-US" w:eastAsia="en-US"/>
        </w:rPr>
        <w:t>条</w:t>
      </w:r>
      <w:r>
        <w:rPr>
          <w:rFonts w:hint="eastAsia"/>
          <w:spacing w:val="8"/>
          <w:lang w:val="en-US" w:eastAsia="zh-CN"/>
        </w:rPr>
        <w:t xml:space="preserve"> 定标小组</w:t>
      </w:r>
      <w:r>
        <w:rPr>
          <w:spacing w:val="8"/>
        </w:rPr>
        <w:t>可根据项目特点选择集体议事法或票决定标法进行定标。</w:t>
      </w:r>
    </w:p>
    <w:p w14:paraId="6C69F522">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一)集体议事法是指由定标委员会集体商议，定标委员各自发表意见，最终由定标委员会组长确定中标人的方法。所有参加会议的定标委员会成员的意见应当书面记录，并由定标委员会成员签字确认。采用集体议事法定标的，定标委员会组长应当由招标人的法定代表人或者主要负责人担任。</w:t>
      </w:r>
    </w:p>
    <w:p w14:paraId="1E0F7B11">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二)票决定标法是指定标委员会以直接票决或者逐轮票决方式确定中标人的方法。可以票决晋级入围，也可以票决淘汰入围。采用票决定标法的，定标委员会成员应当遵循择优与价格竞争的原则，依据招标文件约定的投票规则，独立行使投票权。</w:t>
      </w:r>
    </w:p>
    <w:p w14:paraId="1E0DC999">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lang w:val="en-US" w:eastAsia="en-US"/>
        </w:rPr>
        <w:t>第十</w:t>
      </w:r>
      <w:r>
        <w:rPr>
          <w:rFonts w:hint="eastAsia" w:ascii="黑体" w:hAnsi="黑体" w:eastAsia="黑体" w:cs="黑体"/>
          <w:b/>
          <w:bCs/>
          <w:spacing w:val="8"/>
          <w:lang w:val="en-US" w:eastAsia="zh-CN"/>
        </w:rPr>
        <w:t>九</w:t>
      </w:r>
      <w:r>
        <w:rPr>
          <w:rFonts w:hint="eastAsia" w:ascii="黑体" w:hAnsi="黑体" w:eastAsia="黑体" w:cs="黑体"/>
          <w:b/>
          <w:bCs/>
          <w:spacing w:val="8"/>
          <w:lang w:val="en-US" w:eastAsia="en-US"/>
        </w:rPr>
        <w:t>条</w:t>
      </w:r>
      <w:r>
        <w:rPr>
          <w:rFonts w:hint="eastAsia"/>
          <w:spacing w:val="8"/>
          <w:lang w:val="en-US" w:eastAsia="zh-CN"/>
        </w:rPr>
        <w:t xml:space="preserve"> </w:t>
      </w:r>
      <w:r>
        <w:rPr>
          <w:spacing w:val="8"/>
          <w:lang w:val="en-US" w:eastAsia="zh-CN"/>
        </w:rPr>
        <w:t>招标人应当在招标文件中明确定标要素及其相关内容，</w:t>
      </w:r>
      <w:r>
        <w:rPr>
          <w:rFonts w:hint="eastAsia"/>
          <w:spacing w:val="8"/>
          <w:lang w:val="en-US" w:eastAsia="zh-CN"/>
        </w:rPr>
        <w:t>定标要素可综合考虑企业实力、投标报价、履约、拟派团队能力与水平、信誉、是否组建联合体、项目负责人答辩质量以及招标人认为需要考量的其他因素。</w:t>
      </w:r>
    </w:p>
    <w:p w14:paraId="0E09C334">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rPr>
        <w:t>第</w:t>
      </w:r>
      <w:r>
        <w:rPr>
          <w:rFonts w:hint="eastAsia" w:ascii="黑体" w:hAnsi="黑体" w:eastAsia="黑体" w:cs="黑体"/>
          <w:b/>
          <w:bCs/>
          <w:spacing w:val="8"/>
          <w:lang w:val="en-US" w:eastAsia="zh-CN"/>
        </w:rPr>
        <w:t>二</w:t>
      </w:r>
      <w:r>
        <w:rPr>
          <w:rFonts w:hint="eastAsia" w:ascii="黑体" w:hAnsi="黑体" w:eastAsia="黑体" w:cs="黑体"/>
          <w:b/>
          <w:bCs/>
          <w:spacing w:val="8"/>
        </w:rPr>
        <w:t>十条</w:t>
      </w:r>
      <w:r>
        <w:rPr>
          <w:spacing w:val="8"/>
        </w:rPr>
        <w:t xml:space="preserve"> 定标会议应在属地公共资源交易中心进行， 并全程录音录像。定标会议按照以下程序进行：</w:t>
      </w:r>
    </w:p>
    <w:p w14:paraId="31AD3EDD">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(一)介绍定标程序及须知，定标委员会成员签署承诺书。定标委员会成员需要回避的应主动提出，招标人按要求补充成员；</w:t>
      </w:r>
    </w:p>
    <w:p w14:paraId="0229CE8F">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(二)介绍项目基本情况，同时提供相关资料(包括： 招标文件、开标记录、评标报告、定标要素的基本情况表、涉及定标的其它资料);</w:t>
      </w:r>
    </w:p>
    <w:p w14:paraId="22B85AD5">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(三)介绍对定标候选人的考察、质询情况，不得有明示或暗示倾向性的内容。</w:t>
      </w:r>
    </w:p>
    <w:p w14:paraId="167D7167">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(四)定标委员会严格按照招标文件规定的定标方法，对照定标要素，结合评标报告、招标人考察、质询情况等进行定标，确定中标人，并出具书面定标报告。</w:t>
      </w:r>
    </w:p>
    <w:p w14:paraId="5CD0A93D">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spacing w:val="8"/>
        </w:rPr>
        <w:t>定标会议中，定标委员会不得改变招标文件、投标文件 和评标的实质性内容。</w:t>
      </w:r>
    </w:p>
    <w:p w14:paraId="595F0F70">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rPr>
        <w:t>第</w:t>
      </w:r>
      <w:r>
        <w:rPr>
          <w:rFonts w:hint="eastAsia" w:ascii="黑体" w:hAnsi="黑体" w:eastAsia="黑体" w:cs="黑体"/>
          <w:b/>
          <w:bCs/>
          <w:spacing w:val="8"/>
          <w:lang w:val="en-US" w:eastAsia="zh-CN"/>
        </w:rPr>
        <w:t>二</w:t>
      </w:r>
      <w:r>
        <w:rPr>
          <w:rFonts w:hint="eastAsia" w:ascii="黑体" w:hAnsi="黑体" w:eastAsia="黑体" w:cs="黑体"/>
          <w:b/>
          <w:bCs/>
          <w:spacing w:val="8"/>
        </w:rPr>
        <w:t>十</w:t>
      </w:r>
      <w:r>
        <w:rPr>
          <w:rFonts w:hint="eastAsia" w:ascii="黑体" w:hAnsi="黑体" w:eastAsia="黑体" w:cs="黑体"/>
          <w:b/>
          <w:bCs/>
          <w:spacing w:val="8"/>
          <w:lang w:val="en-US" w:eastAsia="zh-CN"/>
        </w:rPr>
        <w:t>一</w:t>
      </w:r>
      <w:r>
        <w:rPr>
          <w:rFonts w:hint="eastAsia" w:ascii="黑体" w:hAnsi="黑体" w:eastAsia="黑体" w:cs="黑体"/>
          <w:b/>
          <w:bCs/>
          <w:spacing w:val="8"/>
        </w:rPr>
        <w:t>条</w:t>
      </w:r>
      <w:r>
        <w:rPr>
          <w:rFonts w:hint="eastAsia"/>
          <w:spacing w:val="8"/>
          <w:lang w:val="en-US" w:eastAsia="zh-CN"/>
        </w:rPr>
        <w:t xml:space="preserve"> </w:t>
      </w:r>
      <w:r>
        <w:rPr>
          <w:spacing w:val="8"/>
        </w:rPr>
        <w:t>定标报告应当记录定标委员会成员名单、定标监督小组名单、定</w:t>
      </w:r>
      <w:r>
        <w:rPr>
          <w:rFonts w:hint="default"/>
          <w:spacing w:val="8"/>
        </w:rPr>
        <w:t>标办法、答辩情况（如有）、定标工作情况、定标结果，并由定标委员会成员、定标监督小组成员签字。</w:t>
      </w:r>
    </w:p>
    <w:p w14:paraId="071A8B7E">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rFonts w:hint="default"/>
          <w:spacing w:val="8"/>
        </w:rPr>
        <w:t>对定标结果有不同意见的定标委员会成员应当以书面形式说明其不同意见和理由，定标报告应当注明该不同意见。定标委员会成员拒绝在定标报告上签字又不书面说明其不同意见和理由的，视为同意定标结果。</w:t>
      </w:r>
    </w:p>
    <w:p w14:paraId="1E0EC83B">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rFonts w:hint="default"/>
          <w:spacing w:val="8"/>
        </w:rPr>
      </w:pPr>
      <w:r>
        <w:rPr>
          <w:rFonts w:hint="eastAsia" w:ascii="黑体" w:hAnsi="黑体" w:eastAsia="黑体" w:cs="黑体"/>
          <w:b/>
          <w:bCs/>
          <w:spacing w:val="8"/>
        </w:rPr>
        <w:t>第</w:t>
      </w:r>
      <w:r>
        <w:rPr>
          <w:rFonts w:hint="eastAsia" w:ascii="黑体" w:hAnsi="黑体" w:eastAsia="黑体" w:cs="黑体"/>
          <w:b/>
          <w:bCs/>
          <w:spacing w:val="8"/>
          <w:lang w:val="en-US" w:eastAsia="zh-CN"/>
        </w:rPr>
        <w:t>二</w:t>
      </w:r>
      <w:r>
        <w:rPr>
          <w:rFonts w:hint="eastAsia" w:ascii="黑体" w:hAnsi="黑体" w:eastAsia="黑体" w:cs="黑体"/>
          <w:b/>
          <w:bCs/>
          <w:spacing w:val="8"/>
        </w:rPr>
        <w:t>十</w:t>
      </w:r>
      <w:r>
        <w:rPr>
          <w:rFonts w:hint="eastAsia" w:ascii="黑体" w:hAnsi="黑体" w:eastAsia="黑体" w:cs="黑体"/>
          <w:b/>
          <w:bCs/>
          <w:spacing w:val="8"/>
          <w:lang w:val="en-US" w:eastAsia="zh-CN"/>
        </w:rPr>
        <w:t>二</w:t>
      </w:r>
      <w:r>
        <w:rPr>
          <w:rFonts w:hint="eastAsia" w:ascii="黑体" w:hAnsi="黑体" w:eastAsia="黑体" w:cs="黑体"/>
          <w:b/>
          <w:bCs/>
          <w:spacing w:val="8"/>
        </w:rPr>
        <w:t>条</w:t>
      </w:r>
      <w:r>
        <w:rPr>
          <w:rFonts w:hint="eastAsia"/>
          <w:spacing w:val="8"/>
          <w:lang w:val="en-US" w:eastAsia="zh-CN"/>
        </w:rPr>
        <w:t xml:space="preserve"> </w:t>
      </w:r>
      <w:r>
        <w:rPr>
          <w:spacing w:val="8"/>
          <w:lang w:val="en-US" w:eastAsia="zh-CN"/>
        </w:rPr>
        <w:t>招标人应当在定标工作完成后的3日内发布定</w:t>
      </w:r>
      <w:r>
        <w:rPr>
          <w:rFonts w:hint="default"/>
          <w:spacing w:val="8"/>
        </w:rPr>
        <w:t>标结果(中标结果)，公示期不得少于3日。定标结果(中标结果)公示期满后15日内</w:t>
      </w:r>
      <w:r>
        <w:rPr>
          <w:rFonts w:hint="default"/>
          <w:spacing w:val="8"/>
        </w:rPr>
        <w:t>，招标人应当向中标人发出中标通知书，并</w:t>
      </w:r>
      <w:r>
        <w:rPr>
          <w:rFonts w:hint="default"/>
          <w:spacing w:val="8"/>
          <w:lang w:val="en-US" w:eastAsia="zh-CN"/>
        </w:rPr>
        <w:t>自中标通知书发出之日起 30日内按招标文件和投标文件的约定</w:t>
      </w:r>
      <w:r>
        <w:rPr>
          <w:rFonts w:hint="default"/>
          <w:spacing w:val="8"/>
        </w:rPr>
        <w:t>签订书面合同。</w:t>
      </w:r>
    </w:p>
    <w:p w14:paraId="66DE6137">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rPr>
        <w:t>第</w:t>
      </w:r>
      <w:r>
        <w:rPr>
          <w:rFonts w:hint="eastAsia" w:ascii="黑体" w:hAnsi="黑体" w:eastAsia="黑体" w:cs="黑体"/>
          <w:b/>
          <w:bCs/>
          <w:spacing w:val="8"/>
          <w:lang w:val="en-US" w:eastAsia="zh-CN"/>
        </w:rPr>
        <w:t>二</w:t>
      </w:r>
      <w:r>
        <w:rPr>
          <w:rFonts w:hint="eastAsia" w:ascii="黑体" w:hAnsi="黑体" w:eastAsia="黑体" w:cs="黑体"/>
          <w:b/>
          <w:bCs/>
          <w:spacing w:val="8"/>
        </w:rPr>
        <w:t>十</w:t>
      </w:r>
      <w:r>
        <w:rPr>
          <w:rFonts w:hint="eastAsia" w:ascii="黑体" w:hAnsi="黑体" w:eastAsia="黑体" w:cs="黑体"/>
          <w:b/>
          <w:bCs/>
          <w:spacing w:val="8"/>
          <w:lang w:val="en-US" w:eastAsia="zh-CN"/>
        </w:rPr>
        <w:t>三</w:t>
      </w:r>
      <w:r>
        <w:rPr>
          <w:rFonts w:hint="eastAsia" w:ascii="黑体" w:hAnsi="黑体" w:eastAsia="黑体" w:cs="黑体"/>
          <w:b/>
          <w:bCs/>
          <w:spacing w:val="8"/>
        </w:rPr>
        <w:t>条</w:t>
      </w:r>
      <w:r>
        <w:rPr>
          <w:rFonts w:hint="eastAsia"/>
          <w:spacing w:val="8"/>
          <w:lang w:val="en-US" w:eastAsia="zh-CN"/>
        </w:rPr>
        <w:t xml:space="preserve"> </w:t>
      </w:r>
      <w:r>
        <w:rPr>
          <w:spacing w:val="8"/>
          <w:lang w:val="en-US" w:eastAsia="zh-CN"/>
        </w:rPr>
        <w:t>招标人、定标委员会成员及定标工作相关工作</w:t>
      </w:r>
      <w:r>
        <w:rPr>
          <w:rFonts w:hint="default"/>
          <w:spacing w:val="8"/>
        </w:rPr>
        <w:t>人员应当严格遵守保密规定，不得以任何形式向外透露定标委员会成员名单、考察报告、中标人推荐以及与定标有关的其他情况。</w:t>
      </w:r>
    </w:p>
    <w:p w14:paraId="33166D16">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2" w:firstLineChars="200"/>
        <w:textAlignment w:val="baseline"/>
        <w:rPr>
          <w:spacing w:val="8"/>
        </w:rPr>
      </w:pPr>
      <w:r>
        <w:rPr>
          <w:rFonts w:hint="default"/>
          <w:spacing w:val="8"/>
        </w:rPr>
        <w:t>定标会结束后，定标报告、录音录像等书面和影音资料要与招标文件、投标文件和评标报告等资料统一归档保存。</w:t>
      </w:r>
    </w:p>
    <w:p w14:paraId="36B63B7C">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0"/>
        <w:jc w:val="center"/>
        <w:textAlignment w:val="baseline"/>
        <w:rPr>
          <w:rFonts w:hint="default"/>
          <w:spacing w:val="8"/>
          <w:lang w:val="en-US" w:eastAsia="zh-CN"/>
        </w:rPr>
      </w:pPr>
      <w:r>
        <w:rPr>
          <w:rFonts w:ascii="黑体" w:hAnsi="黑体" w:eastAsia="黑体" w:cs="黑体"/>
          <w:b/>
          <w:bCs/>
          <w:snapToGrid w:val="0"/>
          <w:color w:val="000000"/>
          <w:spacing w:val="3"/>
          <w:kern w:val="0"/>
          <w:sz w:val="31"/>
          <w:szCs w:val="31"/>
          <w:lang w:val="en-US" w:eastAsia="en-US" w:bidi="ar-SA"/>
        </w:rPr>
        <w:t>第四章</w:t>
      </w:r>
      <w:r>
        <w:rPr>
          <w:rFonts w:hint="eastAsia" w:ascii="黑体" w:hAnsi="黑体" w:eastAsia="黑体" w:cs="黑体"/>
          <w:b/>
          <w:bCs/>
          <w:snapToGrid w:val="0"/>
          <w:color w:val="000000"/>
          <w:spacing w:val="3"/>
          <w:kern w:val="0"/>
          <w:sz w:val="31"/>
          <w:szCs w:val="31"/>
          <w:lang w:val="en-US" w:eastAsia="zh-CN" w:bidi="ar-SA"/>
        </w:rPr>
        <w:t xml:space="preserve">  附 则</w:t>
      </w:r>
    </w:p>
    <w:p w14:paraId="0691D7D1">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spacing w:val="8"/>
        </w:rPr>
      </w:pPr>
      <w:r>
        <w:rPr>
          <w:rFonts w:hint="eastAsia" w:ascii="黑体" w:hAnsi="黑体" w:eastAsia="黑体" w:cs="黑体"/>
          <w:b/>
          <w:bCs/>
          <w:spacing w:val="8"/>
          <w:lang w:val="en-US" w:eastAsia="en-US"/>
        </w:rPr>
        <w:t>第二十</w:t>
      </w:r>
      <w:r>
        <w:rPr>
          <w:rFonts w:hint="eastAsia" w:ascii="黑体" w:hAnsi="黑体" w:eastAsia="黑体" w:cs="黑体"/>
          <w:b/>
          <w:bCs/>
          <w:spacing w:val="8"/>
          <w:lang w:val="en-US" w:eastAsia="zh-CN"/>
        </w:rPr>
        <w:t>四</w:t>
      </w:r>
      <w:r>
        <w:rPr>
          <w:rFonts w:hint="eastAsia" w:ascii="黑体" w:hAnsi="黑体" w:eastAsia="黑体" w:cs="黑体"/>
          <w:b/>
          <w:bCs/>
          <w:spacing w:val="8"/>
          <w:lang w:val="en-US" w:eastAsia="en-US"/>
        </w:rPr>
        <w:t>条</w:t>
      </w:r>
      <w:r>
        <w:rPr>
          <w:spacing w:val="8"/>
        </w:rPr>
        <w:t> 本办法由</w:t>
      </w:r>
      <w:r>
        <w:rPr>
          <w:rFonts w:hint="eastAsia"/>
          <w:spacing w:val="8"/>
          <w:lang w:val="en-US" w:eastAsia="zh-CN"/>
        </w:rPr>
        <w:t>渝水区住房和城乡建设局</w:t>
      </w:r>
      <w:r>
        <w:rPr>
          <w:rFonts w:hint="default"/>
          <w:spacing w:val="8"/>
        </w:rPr>
        <w:t>负责解释。</w:t>
      </w:r>
    </w:p>
    <w:p w14:paraId="1059D525">
      <w:pPr>
        <w:pStyle w:val="2"/>
        <w:keepNext w:val="0"/>
        <w:keepLines w:val="0"/>
        <w:pageBreakBefore w:val="0"/>
        <w:widowControl/>
        <w:kinsoku w:val="0"/>
        <w:wordWrap/>
        <w:overflowPunct/>
        <w:topLinePunct w:val="0"/>
        <w:autoSpaceDE w:val="0"/>
        <w:autoSpaceDN w:val="0"/>
        <w:bidi w:val="0"/>
        <w:adjustRightInd w:val="0"/>
        <w:snapToGrid w:val="0"/>
        <w:spacing w:line="341" w:lineRule="auto"/>
        <w:ind w:left="0" w:right="0" w:firstLine="654" w:firstLineChars="200"/>
        <w:textAlignment w:val="baseline"/>
        <w:rPr>
          <w:rFonts w:ascii="仿宋" w:hAnsi="仿宋" w:eastAsia="仿宋" w:cs="仿宋"/>
          <w:snapToGrid w:val="0"/>
          <w:color w:val="000000"/>
          <w:spacing w:val="13"/>
          <w:kern w:val="0"/>
          <w:sz w:val="31"/>
          <w:szCs w:val="31"/>
          <w:lang w:val="en-US" w:eastAsia="en-US" w:bidi="ar-SA"/>
        </w:rPr>
      </w:pPr>
      <w:r>
        <w:rPr>
          <w:rFonts w:hint="eastAsia" w:ascii="黑体" w:hAnsi="黑体" w:eastAsia="黑体" w:cs="黑体"/>
          <w:b/>
          <w:bCs/>
          <w:spacing w:val="8"/>
        </w:rPr>
        <w:t>第二十</w:t>
      </w:r>
      <w:r>
        <w:rPr>
          <w:rFonts w:hint="eastAsia" w:ascii="黑体" w:hAnsi="黑体" w:eastAsia="黑体" w:cs="黑体"/>
          <w:b/>
          <w:bCs/>
          <w:spacing w:val="8"/>
          <w:lang w:val="en-US" w:eastAsia="zh-CN"/>
        </w:rPr>
        <w:t>五</w:t>
      </w:r>
      <w:r>
        <w:rPr>
          <w:rFonts w:hint="eastAsia" w:ascii="黑体" w:hAnsi="黑体" w:eastAsia="黑体" w:cs="黑体"/>
          <w:b/>
          <w:bCs/>
          <w:spacing w:val="8"/>
        </w:rPr>
        <w:t>条</w:t>
      </w:r>
      <w:r>
        <w:rPr>
          <w:spacing w:val="8"/>
        </w:rPr>
        <w:t> </w:t>
      </w:r>
      <w:r>
        <w:rPr>
          <w:rFonts w:hint="default"/>
          <w:spacing w:val="8"/>
        </w:rPr>
        <w:t>本办法自</w:t>
      </w:r>
      <w:bookmarkStart w:id="0" w:name="_GoBack"/>
      <w:r>
        <w:rPr>
          <w:rFonts w:hint="default"/>
          <w:spacing w:val="8"/>
        </w:rPr>
        <w:t xml:space="preserve"> 202</w:t>
      </w:r>
      <w:r>
        <w:rPr>
          <w:rFonts w:hint="eastAsia"/>
          <w:spacing w:val="8"/>
          <w:lang w:val="en-US" w:eastAsia="zh-CN"/>
        </w:rPr>
        <w:t>5</w:t>
      </w:r>
      <w:r>
        <w:rPr>
          <w:rFonts w:hint="default"/>
          <w:spacing w:val="8"/>
        </w:rPr>
        <w:t>年8月5日</w:t>
      </w:r>
      <w:r>
        <w:rPr>
          <w:rFonts w:hint="default"/>
          <w:spacing w:val="8"/>
        </w:rPr>
        <w:t>起施</w:t>
      </w:r>
      <w:bookmarkEnd w:id="0"/>
      <w:r>
        <w:rPr>
          <w:rFonts w:hint="default"/>
          <w:spacing w:val="8"/>
        </w:rPr>
        <w:t>行，试行期一年。未尽事宜，按照招标投标现行法律法规及省、市有关规定执行。试行期间，上级有最新规定的，从其执行</w:t>
      </w:r>
      <w:r>
        <w:rPr>
          <w:rFonts w:hint="eastAsia"/>
          <w:spacing w:val="8"/>
          <w:lang w:eastAsia="zh-CN"/>
        </w:rPr>
        <w:t>。</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5971">
    <w:pPr>
      <w:spacing w:line="233" w:lineRule="auto"/>
      <w:ind w:left="7295"/>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3CE57">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B3CE57">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009C9"/>
    <w:rsid w:val="031E1BDD"/>
    <w:rsid w:val="065D5BAB"/>
    <w:rsid w:val="498415D0"/>
    <w:rsid w:val="67DE74A5"/>
    <w:rsid w:val="72E0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3815</Words>
  <Characters>3840</Characters>
  <Lines>0</Lines>
  <Paragraphs>0</Paragraphs>
  <TotalTime>31</TotalTime>
  <ScaleCrop>false</ScaleCrop>
  <LinksUpToDate>false</LinksUpToDate>
  <CharactersWithSpaces>3911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2025-08-08T02:54:00Z</dcterms:created>
  <dc:creator>知名不具</dc:creator>
  <cp:lastModifiedBy>简单一点</cp:lastModifiedBy>
  <cp:lastPrinted>2025-08-11T02:16:00Z</cp:lastPrinted>
  <dcterms:modified xsi:type="dcterms:W3CDTF">2025-08-25T01:31:12Z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AD7B863A624A43B999D0E22233C5BF6C_13</vt:lpwstr>
  </property>
  <property fmtid="{D5CDD505-2E9C-101B-9397-08002B2CF9AE}" pid="4" name="KSOTemplateDocerSaveRecord">
    <vt:lpwstr>eyJoZGlkIjoiNjI5NmVjYTQ1OGMxYmNhNzhlOTMyNDcyMjY2MzNhYmYiLCJ1c2VySWQiOiI0MjQwMzQ2OTAifQ==</vt:lpwstr>
  </property>
</Properties>
</file>