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年度区级部门决算公开格式：</w:t>
      </w:r>
    </w:p>
    <w:p>
      <w:pPr>
        <w:rPr>
          <w:rFonts w:hint="eastAsia" w:ascii="楷体" w:hAnsi="楷体" w:eastAsia="楷体" w:cs="楷体"/>
          <w:sz w:val="30"/>
          <w:szCs w:val="30"/>
        </w:rPr>
      </w:pPr>
    </w:p>
    <w:p>
      <w:pPr>
        <w:spacing w:line="600" w:lineRule="exact"/>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lang w:eastAsia="zh-CN"/>
        </w:rPr>
        <w:t>区政协</w:t>
      </w:r>
      <w:r>
        <w:rPr>
          <w:rFonts w:hint="eastAsia" w:ascii="方正小标宋简体" w:hAnsi="方正小标宋简体" w:eastAsia="方正小标宋简体" w:cs="方正小标宋简体"/>
          <w:sz w:val="44"/>
          <w:szCs w:val="36"/>
        </w:rPr>
        <w:t>202</w:t>
      </w:r>
      <w:r>
        <w:rPr>
          <w:rFonts w:hint="eastAsia" w:ascii="方正小标宋简体" w:hAnsi="方正小标宋简体" w:eastAsia="方正小标宋简体" w:cs="方正小标宋简体"/>
          <w:sz w:val="44"/>
          <w:szCs w:val="36"/>
          <w:lang w:val="en-US" w:eastAsia="zh-CN"/>
        </w:rPr>
        <w:t>2</w:t>
      </w:r>
      <w:r>
        <w:rPr>
          <w:rFonts w:hint="eastAsia" w:ascii="方正小标宋简体" w:hAnsi="方正小标宋简体" w:eastAsia="方正小标宋简体" w:cs="方正小标宋简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区政协</w:t>
      </w:r>
      <w:r>
        <w:rPr>
          <w:rFonts w:hint="eastAsia" w:ascii="黑体" w:hAnsi="黑体" w:eastAsia="黑体"/>
          <w:b/>
          <w:sz w:val="32"/>
          <w:szCs w:val="32"/>
        </w:rPr>
        <w:t>概况</w:t>
      </w:r>
    </w:p>
    <w:p>
      <w:pPr>
        <w:widowControl/>
        <w:spacing w:line="600" w:lineRule="exact"/>
        <w:ind w:firstLine="640"/>
        <w:jc w:val="left"/>
        <w:rPr>
          <w:rFonts w:hint="eastAsia" w:ascii="仿宋_GB2312" w:hAnsi="仿宋_GB2312" w:eastAsia="仿宋_GB2312"/>
          <w:sz w:val="32"/>
          <w:szCs w:val="30"/>
        </w:rPr>
      </w:pPr>
      <w:r>
        <w:rPr>
          <w:rFonts w:hint="eastAsia" w:ascii="仿宋_GB2312" w:eastAsia="仿宋_GB2312"/>
          <w:b/>
          <w:sz w:val="32"/>
          <w:szCs w:val="30"/>
        </w:rPr>
        <w:t xml:space="preserve">    </w:t>
      </w:r>
      <w:r>
        <w:rPr>
          <w:rFonts w:hint="eastAsia" w:ascii="仿宋_GB2312" w:hAnsi="仿宋_GB2312" w:eastAsia="仿宋_GB2312"/>
          <w:sz w:val="32"/>
          <w:szCs w:val="30"/>
        </w:rPr>
        <w:t>一、部门主要职责</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2021年度部门决算表</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三、支出决算表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四、财政拨款收入支出决算总表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五、一般公共预算财政拨款支出决算表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六、一般公共预算财政拨款基本支出决算表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七、一般公共预算财政拨款“三公”经费支出决算</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表</w:t>
      </w:r>
    </w:p>
    <w:p>
      <w:pPr>
        <w:widowControl/>
        <w:numPr>
          <w:ilvl w:val="0"/>
          <w:numId w:val="1"/>
        </w:numPr>
        <w:spacing w:line="600" w:lineRule="exact"/>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政府性基金预算财政拨款收入支出决算表</w:t>
      </w:r>
    </w:p>
    <w:p>
      <w:pPr>
        <w:widowControl/>
        <w:numPr>
          <w:ilvl w:val="0"/>
          <w:numId w:val="1"/>
        </w:numPr>
        <w:spacing w:line="600" w:lineRule="exact"/>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国有资本经营预算财政拨款支出决算表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十、国有资产占用情况表</w:t>
      </w:r>
    </w:p>
    <w:p>
      <w:pPr>
        <w:widowControl/>
        <w:spacing w:line="600" w:lineRule="exact"/>
        <w:jc w:val="left"/>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2021年度部门决算情况说明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五、一般公共预算财政拨款“三公”经费支出决算</w:t>
      </w:r>
    </w:p>
    <w:p>
      <w:pPr>
        <w:widowControl/>
        <w:spacing w:line="600" w:lineRule="exact"/>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七、政府采购支出情况说明</w:t>
      </w:r>
    </w:p>
    <w:p>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八、国有资产占用情况说明</w:t>
      </w:r>
    </w:p>
    <w:p>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九、预算绩效情况说明</w:t>
      </w:r>
    </w:p>
    <w:p>
      <w:pPr>
        <w:widowControl/>
        <w:spacing w:line="600" w:lineRule="exact"/>
        <w:ind w:firstLine="640"/>
        <w:jc w:val="left"/>
        <w:rPr>
          <w:rFonts w:ascii="仿宋_GB2312" w:hAnsi="仿宋_GB2312" w:eastAsia="仿宋_GB2312"/>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第一部分  </w:t>
      </w:r>
      <w:r>
        <w:rPr>
          <w:rFonts w:hint="eastAsia" w:ascii="方正小标宋简体" w:hAnsi="方正小标宋简体" w:eastAsia="方正小标宋简体" w:cs="方正小标宋简体"/>
          <w:bCs/>
          <w:sz w:val="44"/>
          <w:szCs w:val="44"/>
          <w:lang w:eastAsia="zh-CN"/>
        </w:rPr>
        <w:t>渝水区政协</w:t>
      </w:r>
      <w:r>
        <w:rPr>
          <w:rFonts w:hint="eastAsia" w:ascii="方正小标宋简体" w:hAnsi="方正小标宋简体" w:eastAsia="方正小标宋简体" w:cs="方正小标宋简体"/>
          <w:bCs/>
          <w:sz w:val="44"/>
          <w:szCs w:val="44"/>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区政协的主要职责是：政治协商、民主监督、参政议政</w:t>
      </w:r>
      <w:r>
        <w:rPr>
          <w:rFonts w:hint="eastAsia" w:ascii="仿宋_GB2312" w:hAnsi="仿宋_GB2312" w:eastAsia="仿宋_GB2312" w:cs="仿宋_GB2312"/>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_GB2312" w:hAnsi="仿宋_GB2312" w:eastAsia="仿宋_GB2312"/>
          <w:sz w:val="30"/>
          <w:szCs w:val="30"/>
          <w:lang w:eastAsia="zh-CN"/>
        </w:rPr>
      </w:pPr>
      <w:r>
        <w:rPr>
          <w:rFonts w:hint="eastAsia" w:ascii="仿宋_GB2312" w:hAnsi="仿宋_GB2312" w:eastAsia="仿宋_GB2312"/>
          <w:sz w:val="30"/>
          <w:szCs w:val="30"/>
        </w:rPr>
        <w:t>纳入本套部门决算汇编范围的单位共</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个，</w:t>
      </w:r>
      <w:r>
        <w:rPr>
          <w:rFonts w:hint="eastAsia" w:ascii="仿宋_GB2312" w:hAnsi="仿宋_GB2312" w:eastAsia="仿宋_GB2312"/>
          <w:sz w:val="30"/>
          <w:szCs w:val="30"/>
          <w:lang w:eastAsia="zh-CN"/>
        </w:rPr>
        <w:t>即区政协。</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8</w:t>
      </w:r>
      <w:r>
        <w:rPr>
          <w:rFonts w:hint="eastAsia" w:ascii="仿宋_GB2312" w:hAnsi="仿宋_GB2312" w:eastAsia="仿宋_GB2312"/>
          <w:sz w:val="30"/>
          <w:szCs w:val="30"/>
        </w:rPr>
        <w:t>年年末实有人数</w:t>
      </w:r>
      <w:r>
        <w:rPr>
          <w:rFonts w:hint="eastAsia" w:ascii="仿宋_GB2312" w:hAnsi="仿宋_GB2312" w:eastAsia="仿宋_GB2312"/>
          <w:sz w:val="30"/>
          <w:szCs w:val="30"/>
          <w:lang w:val="en-US" w:eastAsia="zh-CN"/>
        </w:rPr>
        <w:t>78</w:t>
      </w:r>
      <w:r>
        <w:rPr>
          <w:rFonts w:hint="eastAsia" w:ascii="仿宋_GB2312" w:hAnsi="仿宋_GB2312" w:eastAsia="仿宋_GB2312"/>
          <w:sz w:val="30"/>
          <w:szCs w:val="30"/>
        </w:rPr>
        <w:t>人，其中在职人员</w:t>
      </w:r>
      <w:r>
        <w:rPr>
          <w:rFonts w:hint="eastAsia" w:ascii="仿宋_GB2312" w:hAnsi="仿宋_GB2312" w:eastAsia="仿宋_GB2312"/>
          <w:sz w:val="30"/>
          <w:szCs w:val="30"/>
          <w:lang w:val="en-US" w:eastAsia="zh-CN"/>
        </w:rPr>
        <w:t>43</w:t>
      </w:r>
      <w:r>
        <w:rPr>
          <w:rFonts w:hint="eastAsia" w:ascii="仿宋_GB2312" w:hAnsi="仿宋_GB2312" w:eastAsia="仿宋_GB2312"/>
          <w:sz w:val="30"/>
          <w:szCs w:val="30"/>
        </w:rPr>
        <w:t>人，离休人员</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人，退休人员</w:t>
      </w:r>
      <w:r>
        <w:rPr>
          <w:rFonts w:hint="eastAsia" w:ascii="仿宋_GB2312" w:hAnsi="仿宋_GB2312" w:eastAsia="仿宋_GB2312"/>
          <w:sz w:val="30"/>
          <w:szCs w:val="30"/>
          <w:lang w:val="en-US" w:eastAsia="zh-CN"/>
        </w:rPr>
        <w:t>35</w:t>
      </w:r>
      <w:r>
        <w:rPr>
          <w:rFonts w:hint="eastAsia" w:ascii="仿宋_GB2312" w:hAnsi="仿宋_GB2312" w:eastAsia="仿宋_GB2312"/>
          <w:sz w:val="30"/>
          <w:szCs w:val="30"/>
        </w:rPr>
        <w:t>人；年末其他人员</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人；年末学生人数</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人。</w:t>
      </w:r>
    </w:p>
    <w:p>
      <w:pPr>
        <w:ind w:firstLine="630"/>
        <w:jc w:val="left"/>
        <w:rPr>
          <w:rFonts w:hint="eastAsia" w:ascii="仿宋_GB2312" w:hAnsi="仿宋_GB2312" w:eastAsia="仿宋_GB2312"/>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第二部分  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4974590"/>
            <wp:effectExtent l="0" t="0" r="7620" b="16510"/>
            <wp:docPr id="12" name="图片 12" descr="170010409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0104091420"/>
                    <pic:cNvPicPr>
                      <a:picLocks noChangeAspect="1"/>
                    </pic:cNvPicPr>
                  </pic:nvPicPr>
                  <pic:blipFill>
                    <a:blip r:embed="rId5"/>
                    <a:stretch>
                      <a:fillRect/>
                    </a:stretch>
                  </pic:blipFill>
                  <pic:spPr>
                    <a:xfrm>
                      <a:off x="0" y="0"/>
                      <a:ext cx="5269230" cy="4974590"/>
                    </a:xfrm>
                    <a:prstGeom prst="rect">
                      <a:avLst/>
                    </a:prstGeom>
                  </pic:spPr>
                </pic:pic>
              </a:graphicData>
            </a:graphic>
          </wp:inline>
        </w:drawing>
      </w:r>
    </w:p>
    <w:p>
      <w:pPr>
        <w:autoSpaceDE w:val="0"/>
        <w:autoSpaceDN w:val="0"/>
        <w:adjustRightInd w:val="0"/>
        <w:spacing w:line="360" w:lineRule="auto"/>
        <w:jc w:val="left"/>
        <w:rPr>
          <w:rFonts w:hint="eastAsia" w:ascii="仿宋_GB2312" w:hAnsi="仿宋_GB2312" w:eastAsia="仿宋_GB2312" w:cs="仿宋_GB2312"/>
          <w:kern w:val="0"/>
          <w:sz w:val="30"/>
          <w:szCs w:val="30"/>
        </w:rPr>
      </w:pPr>
    </w:p>
    <w:p>
      <w:pPr>
        <w:autoSpaceDE w:val="0"/>
        <w:autoSpaceDN w:val="0"/>
        <w:adjustRightInd w:val="0"/>
        <w:spacing w:line="360" w:lineRule="auto"/>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3040" cy="2067560"/>
            <wp:effectExtent l="0" t="0" r="3810" b="8890"/>
            <wp:docPr id="13" name="图片 13" descr="170010412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0104122724"/>
                    <pic:cNvPicPr>
                      <a:picLocks noChangeAspect="1"/>
                    </pic:cNvPicPr>
                  </pic:nvPicPr>
                  <pic:blipFill>
                    <a:blip r:embed="rId6"/>
                    <a:stretch>
                      <a:fillRect/>
                    </a:stretch>
                  </pic:blipFill>
                  <pic:spPr>
                    <a:xfrm>
                      <a:off x="0" y="0"/>
                      <a:ext cx="5273040" cy="206756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3675" cy="2560955"/>
            <wp:effectExtent l="0" t="0" r="3175" b="10795"/>
            <wp:docPr id="14" name="图片 14" descr="170010414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0104143869"/>
                    <pic:cNvPicPr>
                      <a:picLocks noChangeAspect="1"/>
                    </pic:cNvPicPr>
                  </pic:nvPicPr>
                  <pic:blipFill>
                    <a:blip r:embed="rId7"/>
                    <a:stretch>
                      <a:fillRect/>
                    </a:stretch>
                  </pic:blipFill>
                  <pic:spPr>
                    <a:xfrm>
                      <a:off x="0" y="0"/>
                      <a:ext cx="5273675" cy="2560955"/>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9230" cy="3604260"/>
            <wp:effectExtent l="0" t="0" r="7620" b="15240"/>
            <wp:docPr id="15" name="图片 15" descr="170010418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00104185241"/>
                    <pic:cNvPicPr>
                      <a:picLocks noChangeAspect="1"/>
                    </pic:cNvPicPr>
                  </pic:nvPicPr>
                  <pic:blipFill>
                    <a:blip r:embed="rId8"/>
                    <a:stretch>
                      <a:fillRect/>
                    </a:stretch>
                  </pic:blipFill>
                  <pic:spPr>
                    <a:xfrm>
                      <a:off x="0" y="0"/>
                      <a:ext cx="5269230" cy="360426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2405" cy="3642360"/>
            <wp:effectExtent l="0" t="0" r="4445" b="15240"/>
            <wp:docPr id="16" name="图片 16" descr="170010420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0104207069"/>
                    <pic:cNvPicPr>
                      <a:picLocks noChangeAspect="1"/>
                    </pic:cNvPicPr>
                  </pic:nvPicPr>
                  <pic:blipFill>
                    <a:blip r:embed="rId9"/>
                    <a:stretch>
                      <a:fillRect/>
                    </a:stretch>
                  </pic:blipFill>
                  <pic:spPr>
                    <a:xfrm>
                      <a:off x="0" y="0"/>
                      <a:ext cx="5272405" cy="364236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4810125" cy="7524750"/>
            <wp:effectExtent l="0" t="0" r="9525" b="0"/>
            <wp:docPr id="17" name="图片 17" descr="170010431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00104315087"/>
                    <pic:cNvPicPr>
                      <a:picLocks noChangeAspect="1"/>
                    </pic:cNvPicPr>
                  </pic:nvPicPr>
                  <pic:blipFill>
                    <a:blip r:embed="rId10"/>
                    <a:stretch>
                      <a:fillRect/>
                    </a:stretch>
                  </pic:blipFill>
                  <pic:spPr>
                    <a:xfrm>
                      <a:off x="0" y="0"/>
                      <a:ext cx="4810125" cy="752475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3675" cy="4469130"/>
            <wp:effectExtent l="0" t="0" r="3175" b="7620"/>
            <wp:docPr id="18" name="图片 18" descr="170010433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00104339160"/>
                    <pic:cNvPicPr>
                      <a:picLocks noChangeAspect="1"/>
                    </pic:cNvPicPr>
                  </pic:nvPicPr>
                  <pic:blipFill>
                    <a:blip r:embed="rId11"/>
                    <a:stretch>
                      <a:fillRect/>
                    </a:stretch>
                  </pic:blipFill>
                  <pic:spPr>
                    <a:xfrm>
                      <a:off x="0" y="0"/>
                      <a:ext cx="5273675" cy="446913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7960" cy="1829435"/>
            <wp:effectExtent l="0" t="0" r="8890" b="18415"/>
            <wp:docPr id="19" name="图片 19" descr="170010438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00104381875"/>
                    <pic:cNvPicPr>
                      <a:picLocks noChangeAspect="1"/>
                    </pic:cNvPicPr>
                  </pic:nvPicPr>
                  <pic:blipFill>
                    <a:blip r:embed="rId12"/>
                    <a:stretch>
                      <a:fillRect/>
                    </a:stretch>
                  </pic:blipFill>
                  <pic:spPr>
                    <a:xfrm>
                      <a:off x="0" y="0"/>
                      <a:ext cx="5267960" cy="1829435"/>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7960" cy="2649220"/>
            <wp:effectExtent l="0" t="0" r="8890" b="17780"/>
            <wp:docPr id="20" name="图片 20" descr="170010439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00104397197"/>
                    <pic:cNvPicPr>
                      <a:picLocks noChangeAspect="1"/>
                    </pic:cNvPicPr>
                  </pic:nvPicPr>
                  <pic:blipFill>
                    <a:blip r:embed="rId13"/>
                    <a:stretch>
                      <a:fillRect/>
                    </a:stretch>
                  </pic:blipFill>
                  <pic:spPr>
                    <a:xfrm>
                      <a:off x="0" y="0"/>
                      <a:ext cx="5267960" cy="264922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3040" cy="2823210"/>
            <wp:effectExtent l="0" t="0" r="3810" b="15240"/>
            <wp:docPr id="21" name="图片 21" descr="170010441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00104416733"/>
                    <pic:cNvPicPr>
                      <a:picLocks noChangeAspect="1"/>
                    </pic:cNvPicPr>
                  </pic:nvPicPr>
                  <pic:blipFill>
                    <a:blip r:embed="rId14"/>
                    <a:stretch>
                      <a:fillRect/>
                    </a:stretch>
                  </pic:blipFill>
                  <pic:spPr>
                    <a:xfrm>
                      <a:off x="0" y="0"/>
                      <a:ext cx="5273040" cy="282321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第三部分  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年度部门决算情况说明</w:t>
      </w:r>
    </w:p>
    <w:p>
      <w:pPr>
        <w:ind w:firstLine="630"/>
        <w:jc w:val="left"/>
        <w:rPr>
          <w:rFonts w:hint="eastAsia" w:ascii="仿宋_GB2312" w:hAnsi="仿宋_GB2312" w:eastAsia="仿宋_GB2312"/>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年度收入总计</w:t>
      </w:r>
      <w:r>
        <w:rPr>
          <w:rFonts w:hint="eastAsia" w:ascii="仿宋_GB2312" w:hAnsi="仿宋_GB2312" w:eastAsia="仿宋_GB2312"/>
          <w:sz w:val="30"/>
          <w:szCs w:val="30"/>
          <w:lang w:val="en-US" w:eastAsia="zh-CN"/>
        </w:rPr>
        <w:t>1272.16</w:t>
      </w:r>
      <w:r>
        <w:rPr>
          <w:rFonts w:hint="eastAsia" w:ascii="仿宋_GB2312" w:hAnsi="仿宋_GB2312" w:eastAsia="仿宋_GB2312"/>
          <w:sz w:val="30"/>
          <w:szCs w:val="30"/>
        </w:rPr>
        <w:t>万元，较202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w:t>
      </w:r>
      <w:r>
        <w:rPr>
          <w:rFonts w:hint="eastAsia" w:ascii="仿宋_GB2312" w:hAnsi="仿宋_GB2312" w:eastAsia="仿宋_GB2312"/>
          <w:sz w:val="30"/>
          <w:szCs w:val="30"/>
          <w:lang w:eastAsia="zh-CN"/>
        </w:rPr>
        <w:t>减少</w:t>
      </w:r>
      <w:r>
        <w:rPr>
          <w:rFonts w:hint="eastAsia" w:ascii="仿宋_GB2312" w:hAnsi="仿宋_GB2312" w:eastAsia="仿宋_GB2312"/>
          <w:sz w:val="30"/>
          <w:szCs w:val="30"/>
          <w:lang w:val="en-US" w:eastAsia="zh-CN"/>
        </w:rPr>
        <w:t>97.46</w:t>
      </w:r>
      <w:r>
        <w:rPr>
          <w:rFonts w:hint="eastAsia" w:ascii="仿宋_GB2312" w:hAnsi="仿宋_GB2312" w:eastAsia="仿宋_GB2312"/>
          <w:sz w:val="30"/>
          <w:szCs w:val="30"/>
        </w:rPr>
        <w:t>万元，</w:t>
      </w:r>
      <w:r>
        <w:rPr>
          <w:rFonts w:hint="eastAsia" w:ascii="仿宋_GB2312" w:hAnsi="仿宋_GB2312" w:eastAsia="仿宋_GB2312"/>
          <w:sz w:val="30"/>
          <w:szCs w:val="30"/>
          <w:lang w:eastAsia="zh-CN"/>
        </w:rPr>
        <w:t>下降</w:t>
      </w:r>
      <w:r>
        <w:rPr>
          <w:rFonts w:hint="eastAsia" w:ascii="仿宋_GB2312" w:hAnsi="仿宋_GB2312" w:eastAsia="仿宋_GB2312"/>
          <w:sz w:val="30"/>
          <w:szCs w:val="30"/>
          <w:lang w:val="en-US" w:eastAsia="zh-CN"/>
        </w:rPr>
        <w:t>7.12</w:t>
      </w:r>
      <w:r>
        <w:rPr>
          <w:rFonts w:hint="eastAsia" w:ascii="仿宋_GB2312" w:hAnsi="仿宋_GB2312" w:eastAsia="仿宋_GB2312"/>
          <w:sz w:val="30"/>
          <w:szCs w:val="30"/>
        </w:rPr>
        <w:t>%；主要原因是：</w:t>
      </w:r>
      <w:r>
        <w:rPr>
          <w:rFonts w:hint="eastAsia" w:ascii="仿宋_GB2312" w:hAnsi="仿宋_GB2312" w:eastAsia="仿宋_GB2312" w:cs="Times New Roman"/>
          <w:sz w:val="30"/>
          <w:szCs w:val="30"/>
        </w:rPr>
        <w:t>年初结转和结余较上年度更少，人员经费</w:t>
      </w:r>
      <w:r>
        <w:rPr>
          <w:rFonts w:hint="eastAsia" w:ascii="仿宋_GB2312" w:hAnsi="仿宋_GB2312" w:eastAsia="仿宋_GB2312" w:cs="Times New Roman"/>
          <w:sz w:val="30"/>
          <w:szCs w:val="30"/>
          <w:lang w:eastAsia="zh-CN"/>
        </w:rPr>
        <w:t>有增加</w:t>
      </w:r>
      <w:r>
        <w:rPr>
          <w:rFonts w:hint="eastAsia" w:ascii="仿宋_GB2312" w:hAnsi="仿宋_GB2312" w:eastAsia="仿宋_GB2312"/>
          <w:sz w:val="30"/>
          <w:szCs w:val="30"/>
        </w:rPr>
        <w:t>。</w:t>
      </w:r>
    </w:p>
    <w:p>
      <w:pPr>
        <w:ind w:firstLine="630"/>
        <w:jc w:val="left"/>
        <w:rPr>
          <w:rFonts w:hint="eastAsia" w:ascii="黑体" w:hAnsi="黑体" w:eastAsia="黑体"/>
          <w:sz w:val="30"/>
          <w:szCs w:val="30"/>
        </w:rPr>
      </w:pPr>
      <w:r>
        <w:rPr>
          <w:rFonts w:hint="eastAsia" w:ascii="仿宋_GB2312" w:hAnsi="仿宋_GB2312" w:eastAsia="仿宋_GB2312" w:cs="Times New Roman"/>
          <w:sz w:val="30"/>
          <w:szCs w:val="30"/>
        </w:rPr>
        <w:t>本年收入主要是财政拨款收入，占收入总额的100%。</w:t>
      </w:r>
      <w:r>
        <w:rPr>
          <w:rFonts w:hint="eastAsia" w:ascii="黑体" w:hAnsi="黑体" w:eastAsia="黑体"/>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 xml:space="preserve"> 二、支出决算情况说明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年度支出总计</w:t>
      </w:r>
      <w:r>
        <w:rPr>
          <w:rFonts w:hint="eastAsia" w:ascii="仿宋_GB2312" w:hAnsi="仿宋_GB2312" w:eastAsia="仿宋_GB2312"/>
          <w:sz w:val="30"/>
          <w:szCs w:val="30"/>
          <w:lang w:val="en-US" w:eastAsia="zh-CN"/>
        </w:rPr>
        <w:t>1272.16</w:t>
      </w:r>
      <w:r>
        <w:rPr>
          <w:rFonts w:hint="eastAsia" w:ascii="仿宋_GB2312" w:hAnsi="仿宋_GB2312" w:eastAsia="仿宋_GB2312"/>
          <w:sz w:val="30"/>
          <w:szCs w:val="30"/>
        </w:rPr>
        <w:t xml:space="preserve">万元，其中本年支出合计 </w:t>
      </w:r>
      <w:r>
        <w:rPr>
          <w:rFonts w:hint="eastAsia" w:ascii="仿宋_GB2312" w:hAnsi="仿宋_GB2312" w:eastAsia="仿宋_GB2312"/>
          <w:sz w:val="30"/>
          <w:szCs w:val="30"/>
          <w:lang w:val="en-US" w:eastAsia="zh-CN"/>
        </w:rPr>
        <w:t>1272.16</w:t>
      </w:r>
      <w:r>
        <w:rPr>
          <w:rFonts w:hint="eastAsia" w:ascii="仿宋_GB2312" w:hAnsi="仿宋_GB2312" w:eastAsia="仿宋_GB2312"/>
          <w:sz w:val="30"/>
          <w:szCs w:val="30"/>
        </w:rPr>
        <w:t>万元，较202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年减少</w:t>
      </w:r>
      <w:r>
        <w:rPr>
          <w:rFonts w:hint="eastAsia" w:ascii="仿宋_GB2312" w:hAnsi="仿宋_GB2312" w:eastAsia="仿宋_GB2312"/>
          <w:sz w:val="30"/>
          <w:szCs w:val="30"/>
          <w:lang w:val="en-US" w:eastAsia="zh-CN"/>
        </w:rPr>
        <w:t>97.46</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7.12</w:t>
      </w:r>
      <w:r>
        <w:rPr>
          <w:rFonts w:hint="eastAsia" w:ascii="仿宋_GB2312" w:hAnsi="仿宋_GB2312" w:eastAsia="仿宋_GB2312"/>
          <w:sz w:val="30"/>
          <w:szCs w:val="30"/>
        </w:rPr>
        <w:t>%，主要原因是：</w:t>
      </w:r>
      <w:r>
        <w:rPr>
          <w:rFonts w:hint="eastAsia" w:ascii="仿宋_GB2312" w:hAnsi="仿宋_GB2312" w:eastAsia="仿宋_GB2312"/>
          <w:sz w:val="30"/>
          <w:szCs w:val="30"/>
          <w:lang w:eastAsia="zh-CN"/>
        </w:rPr>
        <w:t>压缩了开支</w:t>
      </w:r>
      <w:r>
        <w:rPr>
          <w:rFonts w:hint="eastAsia" w:ascii="仿宋_GB2312" w:hAnsi="仿宋_GB2312" w:eastAsia="仿宋_GB2312"/>
          <w:sz w:val="30"/>
          <w:szCs w:val="30"/>
        </w:rPr>
        <w:t>；年末结转和结余</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万元，主要原因是：</w:t>
      </w:r>
      <w:r>
        <w:rPr>
          <w:rFonts w:hint="eastAsia" w:ascii="仿宋_GB2312" w:hAnsi="仿宋_GB2312" w:eastAsia="仿宋_GB2312"/>
          <w:sz w:val="30"/>
          <w:szCs w:val="30"/>
          <w:lang w:eastAsia="zh-CN"/>
        </w:rPr>
        <w:t>全部费用都已支出</w:t>
      </w:r>
      <w:r>
        <w:rPr>
          <w:rFonts w:hint="eastAsia" w:ascii="仿宋_GB2312" w:hAnsi="仿宋_GB2312" w:eastAsia="仿宋_GB2312"/>
          <w:sz w:val="30"/>
          <w:szCs w:val="30"/>
        </w:rPr>
        <w:t>。</w:t>
      </w:r>
    </w:p>
    <w:p>
      <w:pPr>
        <w:ind w:firstLine="630"/>
        <w:jc w:val="left"/>
        <w:rPr>
          <w:rFonts w:hint="eastAsia" w:ascii="仿宋_GB2312" w:hAnsi="仿宋_GB2312" w:eastAsia="仿宋_GB2312" w:cs="Times New Roman"/>
          <w:sz w:val="30"/>
          <w:szCs w:val="30"/>
        </w:rPr>
      </w:pPr>
      <w:r>
        <w:rPr>
          <w:rFonts w:hint="eastAsia" w:ascii="仿宋_GB2312" w:hAnsi="仿宋_GB2312" w:eastAsia="仿宋_GB2312" w:cs="Times New Roman"/>
          <w:sz w:val="30"/>
          <w:szCs w:val="30"/>
        </w:rPr>
        <w:t>本年支出的主要构成是基本支出，为</w:t>
      </w:r>
      <w:r>
        <w:rPr>
          <w:rFonts w:hint="eastAsia" w:ascii="仿宋_GB2312" w:hAnsi="仿宋_GB2312" w:eastAsia="仿宋_GB2312" w:cs="Times New Roman"/>
          <w:sz w:val="30"/>
          <w:szCs w:val="30"/>
          <w:lang w:val="en-US" w:eastAsia="zh-CN"/>
        </w:rPr>
        <w:t>1272.16</w:t>
      </w:r>
      <w:r>
        <w:rPr>
          <w:rFonts w:hint="eastAsia" w:ascii="仿宋_GB2312" w:hAnsi="仿宋_GB2312" w:eastAsia="仿宋_GB2312" w:cs="Times New Roman"/>
          <w:sz w:val="30"/>
          <w:szCs w:val="30"/>
        </w:rPr>
        <w:t>万元，占支出总额的100%。</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年度财政拨款本年支出年初预算数为</w:t>
      </w:r>
      <w:r>
        <w:rPr>
          <w:rFonts w:hint="eastAsia" w:ascii="仿宋_GB2312" w:hAnsi="仿宋_GB2312" w:eastAsia="仿宋_GB2312"/>
          <w:sz w:val="30"/>
          <w:szCs w:val="30"/>
          <w:lang w:val="en-US" w:eastAsia="zh-CN"/>
        </w:rPr>
        <w:t>895</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1272.16</w:t>
      </w:r>
      <w:r>
        <w:rPr>
          <w:rFonts w:hint="eastAsia" w:ascii="仿宋_GB2312" w:hAnsi="仿宋_GB2312" w:eastAsia="仿宋_GB2312"/>
          <w:sz w:val="30"/>
          <w:szCs w:val="30"/>
        </w:rPr>
        <w:t>万元，完成年初预算的</w:t>
      </w:r>
      <w:r>
        <w:rPr>
          <w:rFonts w:hint="eastAsia" w:ascii="仿宋_GB2312" w:hAnsi="仿宋_GB2312" w:eastAsia="仿宋_GB2312"/>
          <w:sz w:val="30"/>
          <w:szCs w:val="30"/>
          <w:lang w:val="en-US" w:eastAsia="zh-CN"/>
        </w:rPr>
        <w:t>142</w:t>
      </w:r>
      <w:r>
        <w:rPr>
          <w:rFonts w:hint="eastAsia" w:ascii="仿宋_GB2312" w:hAnsi="仿宋_GB2312" w:eastAsia="仿宋_GB2312"/>
          <w:sz w:val="30"/>
          <w:szCs w:val="30"/>
        </w:rPr>
        <w:t>%。其中：</w:t>
      </w:r>
    </w:p>
    <w:p>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rPr>
        <w:t>（一）一般公共服务支出年初预算数为791.97万元，决算数为</w:t>
      </w:r>
      <w:r>
        <w:rPr>
          <w:rFonts w:hint="eastAsia" w:ascii="仿宋_GB2312" w:hAnsi="仿宋_GB2312" w:eastAsia="仿宋_GB2312"/>
          <w:sz w:val="30"/>
          <w:szCs w:val="30"/>
          <w:lang w:val="en-US" w:eastAsia="zh-CN"/>
        </w:rPr>
        <w:t>1084.87</w:t>
      </w:r>
      <w:r>
        <w:rPr>
          <w:rFonts w:hint="eastAsia" w:ascii="仿宋_GB2312" w:hAnsi="仿宋_GB2312" w:eastAsia="仿宋_GB2312"/>
          <w:sz w:val="30"/>
          <w:szCs w:val="30"/>
        </w:rPr>
        <w:t>万元，完成年初预算的</w:t>
      </w:r>
      <w:r>
        <w:rPr>
          <w:rFonts w:hint="eastAsia" w:ascii="仿宋_GB2312" w:hAnsi="仿宋_GB2312" w:eastAsia="仿宋_GB2312"/>
          <w:sz w:val="30"/>
          <w:szCs w:val="30"/>
          <w:lang w:val="en-US" w:eastAsia="zh-CN"/>
        </w:rPr>
        <w:t>137</w:t>
      </w:r>
      <w:r>
        <w:rPr>
          <w:rFonts w:hint="eastAsia" w:ascii="仿宋_GB2312" w:hAnsi="仿宋_GB2312" w:eastAsia="仿宋_GB2312"/>
          <w:sz w:val="30"/>
          <w:szCs w:val="30"/>
        </w:rPr>
        <w:t>%，主要原因是：</w:t>
      </w:r>
      <w:r>
        <w:rPr>
          <w:rFonts w:hint="eastAsia" w:ascii="仿宋_GB2312" w:hAnsi="仿宋_GB2312" w:eastAsia="仿宋_GB2312"/>
          <w:sz w:val="30"/>
          <w:szCs w:val="30"/>
          <w:lang w:eastAsia="zh-CN"/>
        </w:rPr>
        <w:t>人员经费有增加</w:t>
      </w:r>
      <w:r>
        <w:rPr>
          <w:rFonts w:hint="eastAsia" w:ascii="仿宋_GB2312" w:hAnsi="仿宋_GB2312" w:eastAsia="仿宋_GB2312"/>
          <w:sz w:val="30"/>
          <w:szCs w:val="30"/>
        </w:rPr>
        <w:t>。</w:t>
      </w:r>
    </w:p>
    <w:p>
      <w:pPr>
        <w:ind w:firstLine="600" w:firstLineChars="200"/>
        <w:jc w:val="left"/>
        <w:rPr>
          <w:rFonts w:hint="eastAsia" w:ascii="仿宋_GB2312" w:hAnsi="仿宋_GB2312" w:eastAsia="仿宋_GB2312"/>
          <w:sz w:val="30"/>
          <w:szCs w:val="30"/>
        </w:rPr>
      </w:pPr>
      <w:r>
        <w:rPr>
          <w:rFonts w:hint="eastAsia" w:ascii="仿宋_GB2312" w:hAnsi="仿宋_GB2312" w:eastAsia="仿宋_GB2312" w:cs="仿宋_GB2312"/>
          <w:kern w:val="0"/>
          <w:sz w:val="30"/>
          <w:szCs w:val="30"/>
        </w:rPr>
        <w:t>（二）社会保障和就业支出年初预算数</w:t>
      </w:r>
      <w:r>
        <w:rPr>
          <w:rFonts w:hint="eastAsia" w:ascii="仿宋_GB2312" w:hAnsi="仿宋_GB2312" w:eastAsia="仿宋_GB2312"/>
          <w:sz w:val="30"/>
          <w:szCs w:val="30"/>
        </w:rPr>
        <w:t>为64.44万元，决算数为</w:t>
      </w:r>
      <w:r>
        <w:rPr>
          <w:rFonts w:hint="eastAsia" w:ascii="仿宋_GB2312" w:hAnsi="仿宋_GB2312" w:eastAsia="仿宋_GB2312"/>
          <w:sz w:val="30"/>
          <w:szCs w:val="30"/>
          <w:lang w:val="en-US" w:eastAsia="zh-CN"/>
        </w:rPr>
        <w:t>146.45</w:t>
      </w:r>
      <w:r>
        <w:rPr>
          <w:rFonts w:hint="eastAsia" w:ascii="仿宋_GB2312" w:hAnsi="仿宋_GB2312" w:eastAsia="仿宋_GB2312"/>
          <w:sz w:val="30"/>
          <w:szCs w:val="30"/>
        </w:rPr>
        <w:t>万元，完成年初预算的</w:t>
      </w:r>
      <w:r>
        <w:rPr>
          <w:rFonts w:hint="eastAsia" w:ascii="仿宋_GB2312" w:hAnsi="仿宋_GB2312" w:eastAsia="仿宋_GB2312"/>
          <w:sz w:val="30"/>
          <w:szCs w:val="30"/>
          <w:lang w:val="en-US" w:eastAsia="zh-CN"/>
        </w:rPr>
        <w:t>227</w:t>
      </w:r>
      <w:r>
        <w:rPr>
          <w:rFonts w:hint="eastAsia" w:ascii="仿宋_GB2312" w:hAnsi="仿宋_GB2312" w:eastAsia="仿宋_GB2312"/>
          <w:sz w:val="30"/>
          <w:szCs w:val="30"/>
        </w:rPr>
        <w:t xml:space="preserve"> %，主要原因是：人员有变动。</w:t>
      </w:r>
    </w:p>
    <w:p>
      <w:pPr>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（三）住房保障支出年初预算数为38.6万元，决算数为</w:t>
      </w:r>
      <w:r>
        <w:rPr>
          <w:rFonts w:hint="eastAsia" w:ascii="仿宋_GB2312" w:hAnsi="仿宋_GB2312" w:eastAsia="仿宋_GB2312" w:cs="仿宋_GB2312"/>
          <w:kern w:val="0"/>
          <w:sz w:val="30"/>
          <w:szCs w:val="30"/>
          <w:lang w:val="en-US" w:eastAsia="zh-CN"/>
        </w:rPr>
        <w:t>40.84</w:t>
      </w:r>
      <w:r>
        <w:rPr>
          <w:rFonts w:hint="eastAsia" w:ascii="仿宋_GB2312" w:hAnsi="仿宋_GB2312" w:eastAsia="仿宋_GB2312" w:cs="仿宋_GB2312"/>
          <w:kern w:val="0"/>
          <w:sz w:val="30"/>
          <w:szCs w:val="30"/>
        </w:rPr>
        <w:t>万元，完成年初预算的</w:t>
      </w:r>
      <w:r>
        <w:rPr>
          <w:rFonts w:hint="eastAsia" w:ascii="仿宋_GB2312" w:hAnsi="仿宋_GB2312" w:eastAsia="仿宋_GB2312" w:cs="仿宋_GB2312"/>
          <w:kern w:val="0"/>
          <w:sz w:val="30"/>
          <w:szCs w:val="30"/>
          <w:lang w:val="en-US" w:eastAsia="zh-CN"/>
        </w:rPr>
        <w:t>106</w:t>
      </w:r>
      <w:r>
        <w:rPr>
          <w:rFonts w:hint="eastAsia" w:ascii="仿宋_GB2312" w:hAnsi="仿宋_GB2312" w:eastAsia="仿宋_GB2312" w:cs="仿宋_GB2312"/>
          <w:kern w:val="0"/>
          <w:sz w:val="30"/>
          <w:szCs w:val="30"/>
        </w:rPr>
        <w:t>%，主要原因是：人员有变动。</w:t>
      </w:r>
    </w:p>
    <w:p>
      <w:pPr>
        <w:ind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（四）农林水支出年初预算数为0万元，决算数为</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r>
        <w:rPr>
          <w:rFonts w:hint="eastAsia" w:ascii="仿宋_GB2312" w:hAnsi="仿宋_GB2312" w:eastAsia="仿宋_GB2312" w:cs="仿宋_GB2312"/>
          <w:kern w:val="0"/>
          <w:sz w:val="30"/>
          <w:szCs w:val="30"/>
          <w:lang w:eastAsia="zh-CN"/>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年度一般公共预算财政拨款基本支出</w:t>
      </w:r>
      <w:r>
        <w:rPr>
          <w:rFonts w:hint="eastAsia" w:ascii="仿宋_GB2312" w:hAnsi="仿宋_GB2312" w:eastAsia="仿宋_GB2312"/>
          <w:sz w:val="30"/>
          <w:szCs w:val="30"/>
          <w:lang w:val="en-US" w:eastAsia="zh-CN"/>
        </w:rPr>
        <w:t>1272.16</w:t>
      </w:r>
      <w:r>
        <w:rPr>
          <w:rFonts w:hint="eastAsia" w:ascii="仿宋_GB2312" w:hAnsi="仿宋_GB2312" w:eastAsia="仿宋_GB2312"/>
          <w:sz w:val="30"/>
          <w:szCs w:val="30"/>
        </w:rPr>
        <w:t>万元，其中：</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（一）工资福利支出1057.56万元，较202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年增加</w:t>
      </w:r>
      <w:r>
        <w:rPr>
          <w:rFonts w:hint="eastAsia" w:ascii="仿宋_GB2312" w:hAnsi="仿宋_GB2312" w:eastAsia="仿宋_GB2312"/>
          <w:sz w:val="30"/>
          <w:szCs w:val="30"/>
          <w:lang w:val="en-US" w:eastAsia="zh-CN"/>
        </w:rPr>
        <w:t>296.86</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39</w:t>
      </w:r>
      <w:r>
        <w:rPr>
          <w:rFonts w:hint="eastAsia" w:ascii="仿宋_GB2312" w:hAnsi="仿宋_GB2312" w:eastAsia="仿宋_GB2312"/>
          <w:sz w:val="30"/>
          <w:szCs w:val="30"/>
        </w:rPr>
        <w:t>%，主要原因是人员变动，工资有增加。</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（二）商品和服务支出115.78万元，较2020年减少</w:t>
      </w:r>
      <w:r>
        <w:rPr>
          <w:rFonts w:hint="eastAsia" w:ascii="仿宋_GB2312" w:hAnsi="仿宋_GB2312" w:eastAsia="仿宋_GB2312"/>
          <w:sz w:val="30"/>
          <w:szCs w:val="30"/>
          <w:lang w:val="en-US" w:eastAsia="zh-CN"/>
        </w:rPr>
        <w:t>13</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10</w:t>
      </w:r>
      <w:r>
        <w:rPr>
          <w:rFonts w:hint="eastAsia" w:ascii="仿宋_GB2312" w:hAnsi="仿宋_GB2312" w:eastAsia="仿宋_GB2312"/>
          <w:sz w:val="30"/>
          <w:szCs w:val="30"/>
        </w:rPr>
        <w:t>%，主要原因是：压缩了开支。</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（三）对个人和家庭补助支出49.52</w:t>
      </w:r>
      <w:r>
        <w:rPr>
          <w:rFonts w:hint="eastAsia" w:ascii="仿宋_GB2312" w:hAnsi="仿宋_GB2312" w:eastAsia="仿宋_GB2312"/>
          <w:sz w:val="30"/>
          <w:szCs w:val="30"/>
          <w:lang w:val="en-US" w:eastAsia="zh-CN"/>
        </w:rPr>
        <w:t>4</w:t>
      </w:r>
      <w:r>
        <w:rPr>
          <w:rFonts w:hint="eastAsia" w:ascii="仿宋_GB2312" w:hAnsi="仿宋_GB2312" w:eastAsia="仿宋_GB2312"/>
          <w:sz w:val="30"/>
          <w:szCs w:val="30"/>
        </w:rPr>
        <w:t>万元，较2020年减少</w:t>
      </w:r>
      <w:r>
        <w:rPr>
          <w:rFonts w:hint="eastAsia" w:ascii="仿宋_GB2312" w:hAnsi="仿宋_GB2312" w:eastAsia="仿宋_GB2312"/>
          <w:sz w:val="30"/>
          <w:szCs w:val="30"/>
          <w:lang w:val="en-US" w:eastAsia="zh-CN"/>
        </w:rPr>
        <w:t>428.55</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89.64</w:t>
      </w:r>
      <w:r>
        <w:rPr>
          <w:rFonts w:hint="eastAsia" w:ascii="仿宋_GB2312" w:hAnsi="仿宋_GB2312" w:eastAsia="仿宋_GB2312"/>
          <w:sz w:val="30"/>
          <w:szCs w:val="30"/>
        </w:rPr>
        <w:t>%，主要原因是：</w:t>
      </w:r>
      <w:r>
        <w:rPr>
          <w:rFonts w:hint="eastAsia" w:ascii="仿宋_GB2312" w:hAnsi="仿宋_GB2312" w:eastAsia="仿宋_GB2312"/>
          <w:sz w:val="30"/>
          <w:szCs w:val="30"/>
          <w:lang w:eastAsia="zh-CN"/>
        </w:rPr>
        <w:t>减少</w:t>
      </w:r>
      <w:r>
        <w:rPr>
          <w:rFonts w:hint="eastAsia" w:ascii="仿宋_GB2312" w:hAnsi="仿宋_GB2312" w:eastAsia="仿宋_GB2312"/>
          <w:sz w:val="30"/>
          <w:szCs w:val="30"/>
        </w:rPr>
        <w:t>了退休人员的抚恤金等。</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（四）资本性支出2.94万元，较2020年增加</w:t>
      </w:r>
      <w:r>
        <w:rPr>
          <w:rFonts w:hint="eastAsia" w:ascii="仿宋_GB2312" w:hAnsi="仿宋_GB2312" w:eastAsia="仿宋_GB2312"/>
          <w:sz w:val="30"/>
          <w:szCs w:val="30"/>
          <w:lang w:val="en-US" w:eastAsia="zh-CN"/>
        </w:rPr>
        <w:t>0.86</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141.35</w:t>
      </w:r>
      <w:r>
        <w:rPr>
          <w:rFonts w:hint="eastAsia" w:ascii="仿宋_GB2312" w:hAnsi="仿宋_GB2312" w:eastAsia="仿宋_GB2312"/>
          <w:sz w:val="30"/>
          <w:szCs w:val="30"/>
        </w:rPr>
        <w:t>%，主要原因是：</w:t>
      </w:r>
      <w:r>
        <w:rPr>
          <w:rFonts w:hint="eastAsia" w:ascii="仿宋_GB2312" w:hAnsi="仿宋_GB2312" w:eastAsia="仿宋_GB2312"/>
          <w:sz w:val="30"/>
          <w:szCs w:val="30"/>
          <w:lang w:eastAsia="zh-CN"/>
        </w:rPr>
        <w:t>购买了办公设备</w:t>
      </w:r>
      <w:r>
        <w:rPr>
          <w:rFonts w:hint="eastAsia" w:ascii="仿宋_GB2312" w:hAnsi="仿宋_GB2312" w:eastAsia="仿宋_GB2312"/>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年度一般公共预算财政拨款“三公”经费支出年初预算数为</w:t>
      </w:r>
      <w:r>
        <w:rPr>
          <w:rFonts w:hint="eastAsia" w:ascii="仿宋_GB2312" w:hAnsi="仿宋_GB2312" w:eastAsia="仿宋_GB2312"/>
          <w:sz w:val="30"/>
          <w:szCs w:val="30"/>
          <w:lang w:val="en-US" w:eastAsia="zh-CN"/>
        </w:rPr>
        <w:t>10</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6</w:t>
      </w:r>
      <w:r>
        <w:rPr>
          <w:rFonts w:hint="eastAsia" w:ascii="仿宋_GB2312" w:hAnsi="仿宋_GB2312" w:eastAsia="仿宋_GB2312"/>
          <w:sz w:val="30"/>
          <w:szCs w:val="30"/>
        </w:rPr>
        <w:t>万元，完成预算的</w:t>
      </w:r>
      <w:r>
        <w:rPr>
          <w:rFonts w:hint="eastAsia" w:ascii="仿宋_GB2312" w:hAnsi="仿宋_GB2312" w:eastAsia="仿宋_GB2312"/>
          <w:sz w:val="30"/>
          <w:szCs w:val="30"/>
          <w:lang w:val="en-US" w:eastAsia="zh-CN"/>
        </w:rPr>
        <w:t>60</w:t>
      </w:r>
      <w:r>
        <w:rPr>
          <w:rFonts w:hint="eastAsia" w:ascii="仿宋_GB2312" w:hAnsi="仿宋_GB2312" w:eastAsia="仿宋_GB2312"/>
          <w:sz w:val="30"/>
          <w:szCs w:val="30"/>
        </w:rPr>
        <w:t>%，决算数较202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年增加</w:t>
      </w:r>
      <w:r>
        <w:rPr>
          <w:rFonts w:hint="eastAsia" w:ascii="仿宋_GB2312" w:hAnsi="仿宋_GB2312" w:eastAsia="仿宋_GB2312"/>
          <w:sz w:val="30"/>
          <w:szCs w:val="30"/>
          <w:lang w:val="en-US" w:eastAsia="zh-CN"/>
        </w:rPr>
        <w:t>0.1</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1.6</w:t>
      </w:r>
      <w:r>
        <w:rPr>
          <w:rFonts w:hint="eastAsia" w:ascii="仿宋_GB2312" w:hAnsi="仿宋_GB2312" w:eastAsia="仿宋_GB2312"/>
          <w:sz w:val="30"/>
          <w:szCs w:val="30"/>
        </w:rPr>
        <w:t>%，其中：</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（一）因公出国（境）支出年初预算数为0万元，决算数为0 万元。</w:t>
      </w:r>
    </w:p>
    <w:p>
      <w:pPr>
        <w:ind w:firstLine="630"/>
        <w:jc w:val="left"/>
        <w:rPr>
          <w:rFonts w:ascii="仿宋_GB2312" w:hAnsi="仿宋_GB2312" w:eastAsia="仿宋_GB2312"/>
          <w:sz w:val="30"/>
          <w:szCs w:val="30"/>
        </w:rPr>
      </w:pPr>
      <w:r>
        <w:rPr>
          <w:rFonts w:hint="eastAsia" w:ascii="仿宋_GB2312" w:hAnsi="仿宋_GB2312" w:eastAsia="仿宋_GB2312"/>
          <w:sz w:val="30"/>
          <w:szCs w:val="30"/>
        </w:rPr>
        <w:t>（二）公务接待费支出年初预算数为</w:t>
      </w:r>
      <w:r>
        <w:rPr>
          <w:rFonts w:hint="eastAsia" w:ascii="仿宋_GB2312" w:hAnsi="仿宋_GB2312" w:eastAsia="仿宋_GB2312"/>
          <w:sz w:val="30"/>
          <w:szCs w:val="30"/>
          <w:lang w:val="en-US" w:eastAsia="zh-CN"/>
        </w:rPr>
        <w:t>10</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6</w:t>
      </w:r>
      <w:r>
        <w:rPr>
          <w:rFonts w:hint="eastAsia" w:ascii="仿宋_GB2312" w:hAnsi="仿宋_GB2312" w:eastAsia="仿宋_GB2312"/>
          <w:sz w:val="30"/>
          <w:szCs w:val="30"/>
        </w:rPr>
        <w:t>万元，完成预算的</w:t>
      </w:r>
      <w:r>
        <w:rPr>
          <w:rFonts w:hint="eastAsia" w:ascii="仿宋_GB2312" w:hAnsi="仿宋_GB2312" w:eastAsia="仿宋_GB2312"/>
          <w:sz w:val="30"/>
          <w:szCs w:val="30"/>
          <w:lang w:val="en-US" w:eastAsia="zh-CN"/>
        </w:rPr>
        <w:t>60</w:t>
      </w:r>
      <w:r>
        <w:rPr>
          <w:rFonts w:hint="eastAsia" w:ascii="仿宋_GB2312" w:hAnsi="仿宋_GB2312" w:eastAsia="仿宋_GB2312"/>
          <w:sz w:val="30"/>
          <w:szCs w:val="30"/>
        </w:rPr>
        <w:t>%，决算数较202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年增加</w:t>
      </w:r>
      <w:r>
        <w:rPr>
          <w:rFonts w:hint="eastAsia" w:ascii="仿宋_GB2312" w:hAnsi="仿宋_GB2312" w:eastAsia="仿宋_GB2312"/>
          <w:sz w:val="30"/>
          <w:szCs w:val="30"/>
          <w:lang w:val="en-US" w:eastAsia="zh-CN"/>
        </w:rPr>
        <w:t>0.1</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1.6</w:t>
      </w:r>
      <w:r>
        <w:rPr>
          <w:rFonts w:hint="eastAsia" w:ascii="仿宋_GB2312" w:hAnsi="仿宋_GB2312" w:eastAsia="仿宋_GB2312"/>
          <w:sz w:val="30"/>
          <w:szCs w:val="30"/>
        </w:rPr>
        <w:t>%，主要原因是</w:t>
      </w:r>
      <w:r>
        <w:rPr>
          <w:rFonts w:hint="eastAsia" w:ascii="仿宋_GB2312" w:hAnsi="仿宋_GB2312" w:eastAsia="仿宋_GB2312"/>
          <w:sz w:val="30"/>
          <w:szCs w:val="30"/>
          <w:lang w:eastAsia="zh-CN"/>
        </w:rPr>
        <w:t>控制</w:t>
      </w:r>
      <w:r>
        <w:rPr>
          <w:rFonts w:hint="eastAsia" w:ascii="仿宋_GB2312" w:hAnsi="仿宋_GB2312" w:eastAsia="仿宋_GB2312"/>
          <w:sz w:val="30"/>
          <w:szCs w:val="30"/>
        </w:rPr>
        <w:t>了开支。全年国内公务接待</w:t>
      </w:r>
      <w:r>
        <w:rPr>
          <w:rFonts w:hint="eastAsia" w:ascii="仿宋_GB2312" w:hAnsi="仿宋_GB2312" w:eastAsia="仿宋_GB2312"/>
          <w:sz w:val="30"/>
          <w:szCs w:val="30"/>
          <w:lang w:val="en-US" w:eastAsia="zh-CN"/>
        </w:rPr>
        <w:t>110</w:t>
      </w:r>
      <w:r>
        <w:rPr>
          <w:rFonts w:hint="eastAsia" w:ascii="仿宋_GB2312" w:hAnsi="仿宋_GB2312" w:eastAsia="仿宋_GB2312"/>
          <w:sz w:val="30"/>
          <w:szCs w:val="30"/>
        </w:rPr>
        <w:t>批，累计接待</w:t>
      </w:r>
      <w:r>
        <w:rPr>
          <w:rFonts w:hint="eastAsia" w:ascii="仿宋_GB2312" w:hAnsi="仿宋_GB2312" w:eastAsia="仿宋_GB2312"/>
          <w:sz w:val="30"/>
          <w:szCs w:val="30"/>
          <w:lang w:val="en-US" w:eastAsia="zh-CN"/>
        </w:rPr>
        <w:t>650</w:t>
      </w:r>
      <w:r>
        <w:rPr>
          <w:rFonts w:hint="eastAsia" w:ascii="仿宋_GB2312" w:hAnsi="仿宋_GB2312" w:eastAsia="仿宋_GB2312"/>
          <w:sz w:val="30"/>
          <w:szCs w:val="30"/>
        </w:rPr>
        <w:t>人次，其中外事接待</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批，累计接待</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人次，主要为：</w:t>
      </w:r>
      <w:r>
        <w:rPr>
          <w:rFonts w:hint="eastAsia" w:ascii="仿宋_GB2312" w:hAnsi="仿宋_GB2312" w:eastAsia="仿宋_GB2312"/>
          <w:sz w:val="30"/>
          <w:szCs w:val="30"/>
          <w:lang w:eastAsia="zh-CN"/>
        </w:rPr>
        <w:t>考察工作</w:t>
      </w:r>
      <w:r>
        <w:rPr>
          <w:rFonts w:hint="eastAsia" w:ascii="仿宋_GB2312" w:hAnsi="仿宋_GB2312" w:eastAsia="仿宋_GB2312"/>
          <w:sz w:val="30"/>
          <w:szCs w:val="30"/>
        </w:rPr>
        <w:t>。</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（三）公务用车购置及运行维护费支出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万元，其中公务用车购置年初预算数为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w:t>
      </w:r>
      <w:r>
        <w:rPr>
          <w:rFonts w:hint="eastAsia" w:ascii="仿宋_GB2312" w:hAnsi="仿宋_GB2312" w:eastAsia="仿宋_GB2312"/>
          <w:sz w:val="30"/>
          <w:szCs w:val="30"/>
          <w:lang w:eastAsia="zh-CN"/>
        </w:rPr>
        <w:t>；</w:t>
      </w:r>
      <w:r>
        <w:rPr>
          <w:rFonts w:hint="eastAsia" w:ascii="仿宋_GB2312" w:hAnsi="仿宋_GB2312" w:eastAsia="仿宋_GB2312"/>
          <w:sz w:val="30"/>
          <w:szCs w:val="30"/>
        </w:rPr>
        <w:t>公务用车运行维护费支出年初预算数为</w:t>
      </w:r>
      <w:r>
        <w:rPr>
          <w:rFonts w:hint="eastAsia" w:ascii="仿宋_GB2312" w:hAnsi="仿宋_GB2312" w:eastAsia="仿宋_GB2312"/>
          <w:sz w:val="30"/>
          <w:szCs w:val="30"/>
          <w:lang w:val="en-US" w:eastAsia="zh-CN"/>
        </w:rPr>
        <w:t>4.82</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万元，完成预算的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%，主要原因是本单位没有公车。</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年度机关运行经费支出</w:t>
      </w:r>
      <w:r>
        <w:rPr>
          <w:rFonts w:hint="eastAsia" w:ascii="仿宋_GB2312" w:hAnsi="仿宋_GB2312" w:eastAsia="仿宋_GB2312"/>
          <w:sz w:val="30"/>
          <w:szCs w:val="30"/>
          <w:lang w:val="en-US" w:eastAsia="zh-CN"/>
        </w:rPr>
        <w:t>129</w:t>
      </w:r>
      <w:r>
        <w:rPr>
          <w:rFonts w:hint="eastAsia" w:ascii="仿宋_GB2312" w:hAnsi="仿宋_GB2312" w:eastAsia="仿宋_GB2312"/>
          <w:sz w:val="30"/>
          <w:szCs w:val="30"/>
        </w:rPr>
        <w:t>万元（与部门决算中行政单位和参照公务员法管理事业单位一般公共预算财政拨款基本支出中公用经费之和一致），较年初预算数（或者上年决算数）减少</w:t>
      </w:r>
      <w:r>
        <w:rPr>
          <w:rFonts w:hint="eastAsia" w:ascii="仿宋_GB2312" w:hAnsi="仿宋_GB2312" w:eastAsia="仿宋_GB2312"/>
          <w:sz w:val="30"/>
          <w:szCs w:val="30"/>
          <w:lang w:val="en-US" w:eastAsia="zh-CN"/>
        </w:rPr>
        <w:t>70.07</w:t>
      </w:r>
      <w:r>
        <w:rPr>
          <w:rFonts w:hint="eastAsia" w:ascii="仿宋_GB2312" w:hAnsi="仿宋_GB2312" w:eastAsia="仿宋_GB2312"/>
          <w:sz w:val="30"/>
          <w:szCs w:val="30"/>
        </w:rPr>
        <w:t>万元，降低</w:t>
      </w:r>
      <w:r>
        <w:rPr>
          <w:rFonts w:hint="eastAsia" w:ascii="仿宋_GB2312" w:hAnsi="仿宋_GB2312" w:eastAsia="仿宋_GB2312"/>
          <w:sz w:val="30"/>
          <w:szCs w:val="30"/>
          <w:lang w:val="en-US" w:eastAsia="zh-CN"/>
        </w:rPr>
        <w:t>35.2</w:t>
      </w:r>
      <w:r>
        <w:rPr>
          <w:rFonts w:hint="eastAsia" w:ascii="仿宋_GB2312" w:hAnsi="仿宋_GB2312" w:eastAsia="仿宋_GB2312"/>
          <w:sz w:val="30"/>
          <w:szCs w:val="30"/>
        </w:rPr>
        <w:t>%，主要原因是：落实过紧日子要求压减支出。</w:t>
      </w:r>
      <w:bookmarkStart w:id="0" w:name="_GoBack"/>
      <w:bookmarkEnd w:id="0"/>
    </w:p>
    <w:p>
      <w:pPr>
        <w:ind w:firstLine="630"/>
        <w:jc w:val="left"/>
        <w:rPr>
          <w:rFonts w:ascii="黑体" w:hAnsi="黑体" w:eastAsia="黑体"/>
          <w:sz w:val="30"/>
          <w:szCs w:val="30"/>
        </w:rPr>
      </w:pPr>
      <w:r>
        <w:rPr>
          <w:rFonts w:hint="eastAsia" w:ascii="仿宋_GB2312" w:hAnsi="仿宋_GB2312" w:eastAsia="仿宋_GB2312"/>
          <w:sz w:val="30"/>
          <w:szCs w:val="30"/>
        </w:rPr>
        <w:t xml:space="preserve"> </w:t>
      </w:r>
      <w:r>
        <w:rPr>
          <w:rFonts w:hint="eastAsia" w:ascii="黑体" w:hAnsi="黑体" w:eastAsia="黑体"/>
          <w:sz w:val="30"/>
          <w:szCs w:val="30"/>
        </w:rPr>
        <w:t>七、政府采购支出情况说明</w:t>
      </w:r>
    </w:p>
    <w:p>
      <w:pPr>
        <w:ind w:firstLine="630"/>
        <w:jc w:val="left"/>
        <w:rPr>
          <w:rFonts w:hint="eastAsia" w:ascii="仿宋_GB2312" w:hAnsi="仿宋_GB2312" w:eastAsia="仿宋_GB2312"/>
          <w:sz w:val="30"/>
          <w:szCs w:val="30"/>
          <w:lang w:eastAsia="zh-CN"/>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年度政府采购支出总额</w:t>
      </w:r>
      <w:r>
        <w:rPr>
          <w:rFonts w:hint="eastAsia" w:ascii="仿宋_GB2312" w:hAnsi="仿宋_GB2312" w:eastAsia="仿宋_GB2312"/>
          <w:sz w:val="30"/>
          <w:szCs w:val="30"/>
          <w:lang w:val="en-US" w:eastAsia="zh-CN"/>
        </w:rPr>
        <w:t>8.95</w:t>
      </w:r>
      <w:r>
        <w:rPr>
          <w:rFonts w:hint="eastAsia" w:ascii="仿宋_GB2312" w:hAnsi="仿宋_GB2312" w:eastAsia="仿宋_GB2312"/>
          <w:sz w:val="30"/>
          <w:szCs w:val="30"/>
        </w:rPr>
        <w:t>万元，其中：其中：政府采购货物支出</w:t>
      </w:r>
      <w:r>
        <w:rPr>
          <w:rFonts w:hint="eastAsia" w:ascii="仿宋_GB2312" w:hAnsi="仿宋_GB2312" w:eastAsia="仿宋_GB2312"/>
          <w:sz w:val="30"/>
          <w:szCs w:val="30"/>
          <w:lang w:val="en-US" w:eastAsia="zh-CN"/>
        </w:rPr>
        <w:t>8.95</w:t>
      </w:r>
      <w:r>
        <w:rPr>
          <w:rFonts w:hint="eastAsia" w:ascii="仿宋_GB2312" w:hAnsi="仿宋_GB2312" w:eastAsia="仿宋_GB2312"/>
          <w:sz w:val="30"/>
          <w:szCs w:val="30"/>
        </w:rPr>
        <w:t>万元、政府采购工程支出 0万元、政府采购服务支出 0万元。授予中小企业合同金额0.56万元，占政府采购支出总额的100%</w:t>
      </w:r>
      <w:r>
        <w:rPr>
          <w:rFonts w:hint="eastAsia" w:ascii="仿宋_GB2312" w:hAnsi="仿宋_GB2312" w:eastAsia="仿宋_GB2312"/>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截止202</w:t>
      </w:r>
      <w:r>
        <w:rPr>
          <w:rFonts w:hint="eastAsia" w:ascii="仿宋_GB2312" w:hAnsi="仿宋_GB2312" w:eastAsia="仿宋_GB2312"/>
          <w:kern w:val="0"/>
          <w:sz w:val="30"/>
          <w:szCs w:val="30"/>
          <w:lang w:val="en-US" w:eastAsia="zh-CN"/>
        </w:rPr>
        <w:t>2</w:t>
      </w:r>
      <w:r>
        <w:rPr>
          <w:rFonts w:hint="eastAsia" w:ascii="仿宋_GB2312" w:hAnsi="仿宋_GB2312" w:eastAsia="仿宋_GB2312"/>
          <w:kern w:val="0"/>
          <w:sz w:val="30"/>
          <w:szCs w:val="30"/>
        </w:rPr>
        <w:t>年12月31日，本部门（单位）国有资产占用情况见公开10表《国有资产占用情况表》。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根据预算绩效管理要求，我委组织对202</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年度一般公共预算项目支出全面开展绩效自查，从自查情况来看，我委202</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年度加强了财政支出管理，严格实行“收支两条线”政策，严肃财经纪律、规范财政支出行为，进一步完善各种经费使用办法，压缩行政管理开支，“三公经费”得到严格控制，合理利用财力，保障了机关正常运行所需的正常开支。</w:t>
      </w:r>
    </w:p>
    <w:p>
      <w:pPr>
        <w:autoSpaceDE w:val="0"/>
        <w:autoSpaceDN w:val="0"/>
        <w:adjustRightInd w:val="0"/>
        <w:spacing w:line="360" w:lineRule="auto"/>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（二）部门决算中项目绩效自评情况。</w:t>
      </w:r>
    </w:p>
    <w:p>
      <w:pPr>
        <w:autoSpaceDE w:val="0"/>
        <w:autoSpaceDN w:val="0"/>
        <w:adjustRightInd w:val="0"/>
        <w:spacing w:line="360" w:lineRule="auto"/>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年，我单位对部门整体支出预算绩效开展了全面自评，自评等级为优秀。整体支出绩效目标全部实现。主要产出和效果：保障了机要工作的正常运行；下一步</w:t>
      </w:r>
      <w:r>
        <w:rPr>
          <w:rFonts w:hint="eastAsia" w:ascii="仿宋_GB2312" w:hAnsi="仿宋_GB2312" w:eastAsia="仿宋_GB2312" w:cs="仿宋_GB2312"/>
          <w:kern w:val="0"/>
          <w:sz w:val="30"/>
          <w:szCs w:val="30"/>
          <w:lang w:eastAsia="zh-CN"/>
        </w:rPr>
        <w:t>将继续</w:t>
      </w:r>
      <w:r>
        <w:rPr>
          <w:rFonts w:hint="eastAsia" w:ascii="仿宋_GB2312" w:hAnsi="仿宋_GB2312" w:eastAsia="仿宋_GB2312" w:cs="仿宋_GB2312"/>
          <w:kern w:val="0"/>
          <w:sz w:val="30"/>
          <w:szCs w:val="30"/>
        </w:rPr>
        <w:t>根据实际情况，定期做好预算执行分析，适时掌握预算执行进度，进一步加快预算执行。</w:t>
      </w: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区政协整体项目绩效自评综述：整体绩效效果良好。</w:t>
      </w:r>
    </w:p>
    <w:p>
      <w:pPr>
        <w:autoSpaceDE w:val="0"/>
        <w:autoSpaceDN w:val="0"/>
        <w:adjustRightInd w:val="0"/>
        <w:spacing w:line="360" w:lineRule="auto"/>
        <w:jc w:val="left"/>
        <w:rPr>
          <w:rFonts w:hint="eastAsia" w:ascii="仿宋_GB2312" w:hAnsi="仿宋_GB2312" w:eastAsia="仿宋_GB2312" w:cs="仿宋_GB2312"/>
          <w:kern w:val="0"/>
          <w:sz w:val="30"/>
          <w:szCs w:val="30"/>
        </w:rPr>
      </w:pPr>
    </w:p>
    <w:p>
      <w:pPr>
        <w:widowControl/>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pStyle w:val="10"/>
        <w:spacing w:line="600" w:lineRule="atLeast"/>
        <w:ind w:firstLine="600"/>
        <w:rPr>
          <w:rFonts w:hint="eastAsia" w:ascii="仿宋_GB2312" w:hAnsi="仿宋_GB2312" w:eastAsia="仿宋_GB2312"/>
          <w:sz w:val="30"/>
          <w:szCs w:val="30"/>
        </w:rPr>
      </w:pPr>
    </w:p>
    <w:p>
      <w:pPr>
        <w:ind w:firstLine="600" w:firstLineChars="200"/>
        <w:rPr>
          <w:rFonts w:hint="eastAsia" w:ascii="仿宋_GB2312" w:hAnsi="仿宋_GB2312" w:eastAsia="仿宋_GB2312"/>
          <w:kern w:val="0"/>
          <w:sz w:val="30"/>
          <w:szCs w:val="30"/>
        </w:rPr>
      </w:pPr>
      <w:r>
        <w:rPr>
          <w:rFonts w:hint="eastAsia" w:ascii="仿宋_GB2312" w:hAnsi="仿宋_GB2312" w:eastAsia="仿宋_GB2312"/>
          <w:kern w:val="0"/>
          <w:sz w:val="30"/>
          <w:szCs w:val="30"/>
        </w:rPr>
        <w:t>名词解释应以财务会计制度、政府收支分类科目以及部门预算管理等规定为基本说明，可在此基础上结合部门实际情况适当细化。</w:t>
      </w:r>
    </w:p>
    <w:p>
      <w:pPr>
        <w:ind w:firstLine="602" w:firstLineChars="200"/>
        <w:rPr>
          <w:rFonts w:hint="eastAsia" w:ascii="仿宋_GB2312" w:hAnsi="仿宋_GB2312" w:eastAsia="仿宋_GB2312"/>
          <w:sz w:val="30"/>
          <w:szCs w:val="30"/>
        </w:rPr>
      </w:pPr>
      <w:r>
        <w:rPr>
          <w:rFonts w:hint="eastAsia" w:ascii="仿宋_GB2312" w:hAnsi="仿宋_GB2312" w:eastAsia="仿宋_GB2312"/>
          <w:b/>
          <w:bCs/>
          <w:kern w:val="0"/>
          <w:sz w:val="30"/>
          <w:szCs w:val="30"/>
        </w:rPr>
        <w:t>“三公”经费支出和机关运行经费支出口径必须予以说明</w:t>
      </w:r>
      <w:r>
        <w:rPr>
          <w:rFonts w:hint="eastAsia" w:ascii="仿宋_GB2312" w:hAnsi="仿宋_GB2312" w:eastAsia="仿宋_GB2312"/>
          <w:kern w:val="0"/>
          <w:sz w:val="30"/>
          <w:szCs w:val="30"/>
        </w:rPr>
        <w:t>（可参照如下格式进行说明）。</w:t>
      </w:r>
    </w:p>
    <w:p>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sz w:val="30"/>
          <w:szCs w:val="30"/>
        </w:rPr>
      </w:pPr>
      <w:r>
        <w:rPr>
          <w:rFonts w:hint="eastAsia" w:ascii="仿宋_GB2312" w:hAnsi="仿宋_GB2312" w:eastAsia="仿宋_GB2312"/>
          <w:kern w:val="0"/>
          <w:sz w:val="30"/>
          <w:szCs w:val="30"/>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pgNumType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LAD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RiwAzIAQAAmg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OTk5NmM3YWJhMzA3NjUxYjBkMTA3ODc4ODZmODUifQ=="/>
  </w:docVars>
  <w:rsids>
    <w:rsidRoot w:val="00172A27"/>
    <w:rsid w:val="001344A5"/>
    <w:rsid w:val="00903CA6"/>
    <w:rsid w:val="00A41AC2"/>
    <w:rsid w:val="0121313F"/>
    <w:rsid w:val="01F176F8"/>
    <w:rsid w:val="076D374E"/>
    <w:rsid w:val="096F3207"/>
    <w:rsid w:val="0A17634F"/>
    <w:rsid w:val="0A655902"/>
    <w:rsid w:val="138253AD"/>
    <w:rsid w:val="16FC47B8"/>
    <w:rsid w:val="17636C08"/>
    <w:rsid w:val="194160B8"/>
    <w:rsid w:val="195A6CF6"/>
    <w:rsid w:val="1B562253"/>
    <w:rsid w:val="1C9F6334"/>
    <w:rsid w:val="23AE2541"/>
    <w:rsid w:val="24201257"/>
    <w:rsid w:val="253F17F0"/>
    <w:rsid w:val="297F4D32"/>
    <w:rsid w:val="298C4C0E"/>
    <w:rsid w:val="29D26308"/>
    <w:rsid w:val="2D9519C3"/>
    <w:rsid w:val="2E36470C"/>
    <w:rsid w:val="2E966C28"/>
    <w:rsid w:val="34941E16"/>
    <w:rsid w:val="34E07962"/>
    <w:rsid w:val="36716B17"/>
    <w:rsid w:val="3C27476B"/>
    <w:rsid w:val="3D0F50C1"/>
    <w:rsid w:val="3D185B1A"/>
    <w:rsid w:val="3FA0387F"/>
    <w:rsid w:val="409E4722"/>
    <w:rsid w:val="45837FCF"/>
    <w:rsid w:val="475F4CB2"/>
    <w:rsid w:val="4AB85A1B"/>
    <w:rsid w:val="4C516D59"/>
    <w:rsid w:val="4EED34E2"/>
    <w:rsid w:val="508634C3"/>
    <w:rsid w:val="5087086C"/>
    <w:rsid w:val="542E714C"/>
    <w:rsid w:val="54C37059"/>
    <w:rsid w:val="56410B27"/>
    <w:rsid w:val="575978C4"/>
    <w:rsid w:val="578255AE"/>
    <w:rsid w:val="57C35C95"/>
    <w:rsid w:val="589B7671"/>
    <w:rsid w:val="58BC455C"/>
    <w:rsid w:val="59500529"/>
    <w:rsid w:val="59D026DC"/>
    <w:rsid w:val="5D037EF9"/>
    <w:rsid w:val="5EF52798"/>
    <w:rsid w:val="63D62E29"/>
    <w:rsid w:val="649A7248"/>
    <w:rsid w:val="657E7387"/>
    <w:rsid w:val="66095C78"/>
    <w:rsid w:val="660D3CB9"/>
    <w:rsid w:val="663B73C7"/>
    <w:rsid w:val="67874F61"/>
    <w:rsid w:val="693C6A86"/>
    <w:rsid w:val="6CB322FE"/>
    <w:rsid w:val="6D7C1813"/>
    <w:rsid w:val="6FE6379C"/>
    <w:rsid w:val="734D06AA"/>
    <w:rsid w:val="741B78DB"/>
    <w:rsid w:val="775D03C6"/>
    <w:rsid w:val="77AD5DBF"/>
    <w:rsid w:val="784E0692"/>
    <w:rsid w:val="7B9C3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kern w:val="2"/>
      <w:sz w:val="21"/>
      <w:szCs w:val="22"/>
      <w:lang w:val="en-US" w:eastAsia="zh-CN"/>
    </w:rPr>
  </w:style>
  <w:style w:type="character" w:default="1" w:styleId="6">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sz w:val="18"/>
      <w:szCs w:val="18"/>
    </w:rPr>
  </w:style>
  <w:style w:type="character" w:customStyle="1" w:styleId="8">
    <w:name w:val="页脚 Char"/>
    <w:basedOn w:val="6"/>
    <w:link w:val="3"/>
    <w:uiPriority w:val="0"/>
    <w:rPr>
      <w:sz w:val="18"/>
      <w:szCs w:val="18"/>
    </w:rPr>
  </w:style>
  <w:style w:type="character" w:customStyle="1" w:styleId="9">
    <w:name w:val="页眉 Char"/>
    <w:basedOn w:val="6"/>
    <w:link w:val="4"/>
    <w:uiPriority w:val="0"/>
    <w:rPr>
      <w:sz w:val="18"/>
      <w:szCs w:val="18"/>
    </w:rPr>
  </w:style>
  <w:style w:type="paragraph" w:customStyle="1" w:styleId="10">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Hewlett-Packard Company</Company>
  <Pages>15</Pages>
  <Words>2682</Words>
  <Characters>2992</Characters>
  <Lines>28</Lines>
  <Paragraphs>7</Paragraphs>
  <TotalTime>3</TotalTime>
  <ScaleCrop>false</ScaleCrop>
  <LinksUpToDate>false</LinksUpToDate>
  <CharactersWithSpaces>3079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001</dc:creator>
  <cp:lastModifiedBy>向晚2003</cp:lastModifiedBy>
  <cp:lastPrinted>2021-07-30T09:51:00Z</cp:lastPrinted>
  <dcterms:modified xsi:type="dcterms:W3CDTF">2023-11-16T07:15:45Z</dcterms:modified>
  <dc:title>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03CC704359024A32BE41C132A3D69F67_13</vt:lpwstr>
  </property>
</Properties>
</file>