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渝水区2026-2028年农村公路日常养护工程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招标文件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预公示表</w:t>
      </w:r>
    </w:p>
    <w:bookmarkEnd w:id="0"/>
    <w:p>
      <w:pPr>
        <w:widowControl/>
        <w:shd w:val="clear" w:color="auto" w:fill="FFFFFF"/>
        <w:spacing w:line="60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126"/>
        <w:gridCol w:w="1774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渝水区2026-2028年农村公路日常养护工程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项目概况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shd w:val="clear" w:color="auto" w:fill="FFFFFF"/>
              </w:rPr>
              <w:t>渝水区 2026-2028 年农村公路日常养护工程包括 17 条县道和 90 条乡道， 按公路技术等级分有一级公路、二级公路、三级公路、四级公路，养护总里程为 497.415 公里（其中县道 128.655 公路、乡道 368.76 公里）具体详见养护明细表； 本工程养护内容包括公路路基、路面、桥梁、涵洞、防护、排水、沿线设施（含 候车亭）及绿化等的日常养护、小修保养。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招标单位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新余市渝水区交通运输局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联系人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胡先生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2104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13177906899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代理机构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江西世纪招标咨询有限公司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联系人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刘女士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2104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07906660880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公示时间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电子邮箱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widowControl/>
              <w:spacing w:line="600" w:lineRule="exact"/>
              <w:ind w:firstLine="336" w:firstLineChars="100"/>
              <w:jc w:val="left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对招标文件意见建议，应当在公示期间发送至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u w:val="single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>yushuijiaotong@sina.com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u w:val="single"/>
                <w:shd w:val="clear" w:color="auto" w:fill="FFFFFF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招标文件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本页附件下载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招标文件预公示意见反馈表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999"/>
        <w:gridCol w:w="2021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690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招标人</w:t>
            </w:r>
          </w:p>
        </w:tc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代理机构</w:t>
            </w:r>
          </w:p>
        </w:tc>
        <w:tc>
          <w:tcPr>
            <w:tcW w:w="26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反馈意见</w:t>
            </w:r>
          </w:p>
        </w:tc>
        <w:tc>
          <w:tcPr>
            <w:tcW w:w="6909" w:type="dxa"/>
            <w:gridSpan w:val="3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</w:trPr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意见依据</w:t>
            </w:r>
          </w:p>
        </w:tc>
        <w:tc>
          <w:tcPr>
            <w:tcW w:w="6909" w:type="dxa"/>
            <w:gridSpan w:val="3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反馈人</w:t>
            </w:r>
          </w:p>
        </w:tc>
        <w:tc>
          <w:tcPr>
            <w:tcW w:w="21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6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备注：以上内容为社会公众或潜在投标人提前了解招标文件并提出意见，具体项目信息以项目实际招标文件为准。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83"/>
    <w:rsid w:val="0014702A"/>
    <w:rsid w:val="004E4F3F"/>
    <w:rsid w:val="005F27E5"/>
    <w:rsid w:val="0060097C"/>
    <w:rsid w:val="00625183"/>
    <w:rsid w:val="009367DB"/>
    <w:rsid w:val="00A83712"/>
    <w:rsid w:val="00E5504B"/>
    <w:rsid w:val="11D625C1"/>
    <w:rsid w:val="54B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E75B6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E75B6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E75B6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E75B6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182</Characters>
  <Lines>2</Lines>
  <Paragraphs>1</Paragraphs>
  <TotalTime>8</TotalTime>
  <ScaleCrop>false</ScaleCrop>
  <LinksUpToDate>false</LinksUpToDate>
  <CharactersWithSpaces>225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2026-03-17T02:47:00Z</dcterms:created>
  <dc:creator>Administrator</dc:creator>
  <cp:lastModifiedBy>区交通运输局收文员</cp:lastModifiedBy>
  <dcterms:modified xsi:type="dcterms:W3CDTF">2026-03-17T03:05:32Z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eyJoZGlkIjoiMzRlOGUwNDNkZTM3NjRiNTkzMWRiZjQ1NmVkMjdhNWYiLCJ1c2VySWQiOiIyODc4MzI1MjEifQ==</vt:lpwstr>
  </property>
  <property fmtid="{D5CDD505-2E9C-101B-9397-08002B2CF9AE}" pid="3" name="KSOProductBuildVer">
    <vt:lpwstr>2052-11.1.0.9584</vt:lpwstr>
  </property>
  <property fmtid="{D5CDD505-2E9C-101B-9397-08002B2CF9AE}" pid="4" name="ICV">
    <vt:lpwstr>40AE47356E3B4CEEB28D685C100DC1AF_12</vt:lpwstr>
  </property>
</Properties>
</file>