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BA424">
      <w:pPr>
        <w:spacing w:line="600" w:lineRule="exact"/>
        <w:jc w:val="center"/>
        <w:rPr>
          <w:rFonts w:ascii="黑体" w:eastAsia="黑体"/>
          <w:sz w:val="44"/>
          <w:szCs w:val="36"/>
        </w:rPr>
      </w:pPr>
      <w:r>
        <w:rPr>
          <w:rFonts w:hint="eastAsia" w:ascii="黑体" w:eastAsia="黑体"/>
          <w:sz w:val="44"/>
          <w:szCs w:val="36"/>
        </w:rPr>
        <w:t>渝水区应急管理（部门）</w:t>
      </w:r>
      <w:r>
        <w:rPr>
          <w:rFonts w:ascii="黑体" w:eastAsia="黑体"/>
          <w:sz w:val="44"/>
          <w:szCs w:val="36"/>
        </w:rPr>
        <w:t>2023</w:t>
      </w:r>
      <w:r>
        <w:rPr>
          <w:rFonts w:hint="eastAsia" w:ascii="黑体" w:eastAsia="黑体"/>
          <w:sz w:val="44"/>
          <w:szCs w:val="36"/>
        </w:rPr>
        <w:t>年部门预算</w:t>
      </w:r>
    </w:p>
    <w:p w14:paraId="48166D7F">
      <w:pPr>
        <w:spacing w:line="600" w:lineRule="exact"/>
        <w:jc w:val="center"/>
        <w:rPr>
          <w:rFonts w:ascii="黑体" w:eastAsia="黑体"/>
          <w:sz w:val="44"/>
          <w:szCs w:val="36"/>
        </w:rPr>
      </w:pPr>
    </w:p>
    <w:p w14:paraId="3CCD4530">
      <w:pPr>
        <w:spacing w:line="600" w:lineRule="exact"/>
        <w:jc w:val="center"/>
        <w:rPr>
          <w:rFonts w:ascii="黑体" w:eastAsia="黑体"/>
          <w:sz w:val="40"/>
          <w:szCs w:val="36"/>
        </w:rPr>
      </w:pPr>
      <w:r>
        <w:rPr>
          <w:rFonts w:hint="eastAsia" w:ascii="黑体" w:eastAsia="黑体"/>
          <w:sz w:val="40"/>
          <w:szCs w:val="36"/>
        </w:rPr>
        <w:t>目</w:t>
      </w:r>
      <w:r>
        <w:rPr>
          <w:rFonts w:ascii="黑体" w:eastAsia="黑体"/>
          <w:sz w:val="40"/>
          <w:szCs w:val="36"/>
        </w:rPr>
        <w:t xml:space="preserve">    </w:t>
      </w:r>
      <w:r>
        <w:rPr>
          <w:rFonts w:hint="eastAsia" w:ascii="黑体" w:eastAsia="黑体"/>
          <w:sz w:val="40"/>
          <w:szCs w:val="36"/>
        </w:rPr>
        <w:t>录</w:t>
      </w:r>
    </w:p>
    <w:p w14:paraId="6FB54668">
      <w:pPr>
        <w:widowControl/>
        <w:spacing w:line="600" w:lineRule="exact"/>
        <w:ind w:firstLine="640"/>
        <w:jc w:val="left"/>
        <w:rPr>
          <w:rFonts w:ascii="??_GB2312" w:eastAsia="Times New Roman"/>
          <w:sz w:val="32"/>
          <w:szCs w:val="30"/>
        </w:rPr>
      </w:pPr>
    </w:p>
    <w:p w14:paraId="5565D5EB">
      <w:pPr>
        <w:pStyle w:val="5"/>
        <w:tabs>
          <w:tab w:val="right" w:leader="dot" w:pos="8306"/>
        </w:tabs>
        <w:rPr>
          <w:rFonts w:ascii="仿宋" w:hAnsi="仿宋" w:eastAsia="仿宋" w:cs="仿宋"/>
          <w:sz w:val="32"/>
          <w:szCs w:val="32"/>
        </w:rPr>
      </w:pPr>
      <w:r>
        <w:rPr>
          <w:rFonts w:hint="eastAsia" w:ascii="仿宋" w:hAnsi="仿宋" w:eastAsia="仿宋" w:cs="仿宋"/>
          <w:sz w:val="32"/>
          <w:szCs w:val="32"/>
        </w:rPr>
        <w:t>渝水</w:t>
      </w:r>
      <w:r>
        <w:fldChar w:fldCharType="begin"/>
      </w:r>
      <w:r>
        <w:instrText xml:space="preserve"> HYPERLINK \l "_Toc5745" </w:instrText>
      </w:r>
      <w:r>
        <w:fldChar w:fldCharType="separate"/>
      </w:r>
      <w:r>
        <w:rPr>
          <w:rFonts w:hint="eastAsia" w:ascii="宋体" w:hAnsi="宋体" w:cs="宋体"/>
          <w:sz w:val="32"/>
          <w:szCs w:val="32"/>
        </w:rPr>
        <w:t>区应急管理局（</w:t>
      </w:r>
      <w:r>
        <w:rPr>
          <w:rFonts w:hint="eastAsia" w:ascii="仿宋" w:hAnsi="仿宋" w:eastAsia="仿宋" w:cs="仿宋"/>
          <w:sz w:val="32"/>
          <w:szCs w:val="32"/>
        </w:rPr>
        <w:t>部门）</w:t>
      </w:r>
      <w:r>
        <w:rPr>
          <w:rFonts w:ascii="仿宋" w:hAnsi="仿宋" w:eastAsia="仿宋" w:cs="仿宋"/>
          <w:sz w:val="32"/>
          <w:szCs w:val="32"/>
        </w:rPr>
        <w:t>2023</w:t>
      </w:r>
      <w:r>
        <w:rPr>
          <w:rFonts w:hint="eastAsia" w:ascii="仿宋" w:hAnsi="仿宋" w:eastAsia="仿宋" w:cs="仿宋"/>
          <w:sz w:val="32"/>
          <w:szCs w:val="32"/>
        </w:rPr>
        <w:t>年部门预算说明</w:t>
      </w:r>
      <w:r>
        <w:rPr>
          <w:rFonts w:ascii="仿宋" w:hAnsi="仿宋" w:eastAsia="仿宋" w:cs="仿宋"/>
          <w:sz w:val="32"/>
          <w:szCs w:val="32"/>
        </w:rPr>
        <w:tab/>
      </w:r>
      <w:r>
        <w:rPr>
          <w:rFonts w:ascii="仿宋" w:hAnsi="仿宋" w:eastAsia="仿宋" w:cs="仿宋"/>
          <w:sz w:val="32"/>
          <w:szCs w:val="32"/>
        </w:rPr>
        <w:t>1</w:t>
      </w:r>
      <w:r>
        <w:rPr>
          <w:rFonts w:ascii="仿宋" w:hAnsi="仿宋" w:eastAsia="仿宋" w:cs="仿宋"/>
          <w:sz w:val="32"/>
          <w:szCs w:val="32"/>
        </w:rPr>
        <w:fldChar w:fldCharType="end"/>
      </w:r>
    </w:p>
    <w:p w14:paraId="3F8DA6FC">
      <w:pPr>
        <w:pStyle w:val="5"/>
        <w:tabs>
          <w:tab w:val="right" w:leader="dot" w:pos="8306"/>
        </w:tabs>
        <w:rPr>
          <w:rFonts w:ascii="仿宋" w:hAnsi="仿宋" w:eastAsia="仿宋" w:cs="仿宋"/>
          <w:sz w:val="32"/>
          <w:szCs w:val="32"/>
        </w:rPr>
      </w:pPr>
      <w:r>
        <w:fldChar w:fldCharType="begin"/>
      </w:r>
      <w:r>
        <w:instrText xml:space="preserve"> HYPERLINK \l "_Toc18276" </w:instrText>
      </w:r>
      <w:r>
        <w:fldChar w:fldCharType="separate"/>
      </w:r>
      <w:r>
        <w:rPr>
          <w:rFonts w:hint="eastAsia" w:ascii="仿宋" w:hAnsi="仿宋" w:eastAsia="仿宋" w:cs="仿宋"/>
          <w:sz w:val="32"/>
          <w:szCs w:val="32"/>
        </w:rPr>
        <w:t>第一部分</w:t>
      </w:r>
      <w:r>
        <w:rPr>
          <w:rFonts w:ascii="仿宋" w:hAnsi="仿宋" w:eastAsia="仿宋" w:cs="仿宋"/>
          <w:sz w:val="32"/>
          <w:szCs w:val="32"/>
        </w:rPr>
        <w:t xml:space="preserve">  </w:t>
      </w:r>
      <w:r>
        <w:rPr>
          <w:rFonts w:hint="eastAsia" w:ascii="仿宋" w:hAnsi="仿宋" w:eastAsia="仿宋" w:cs="仿宋"/>
          <w:sz w:val="32"/>
          <w:szCs w:val="32"/>
        </w:rPr>
        <w:t>区应急管理局（部门）概况</w:t>
      </w:r>
      <w:r>
        <w:rPr>
          <w:rFonts w:ascii="仿宋" w:hAnsi="仿宋" w:eastAsia="仿宋" w:cs="仿宋"/>
          <w:sz w:val="32"/>
          <w:szCs w:val="32"/>
        </w:rPr>
        <w:tab/>
      </w:r>
      <w:r>
        <w:rPr>
          <w:rFonts w:ascii="仿宋" w:hAnsi="仿宋" w:eastAsia="仿宋" w:cs="仿宋"/>
          <w:sz w:val="32"/>
          <w:szCs w:val="32"/>
        </w:rPr>
        <w:t>2</w:t>
      </w:r>
      <w:r>
        <w:rPr>
          <w:rFonts w:ascii="仿宋" w:hAnsi="仿宋" w:eastAsia="仿宋" w:cs="仿宋"/>
          <w:sz w:val="32"/>
          <w:szCs w:val="32"/>
        </w:rPr>
        <w:fldChar w:fldCharType="end"/>
      </w:r>
    </w:p>
    <w:p w14:paraId="444CADAE">
      <w:pPr>
        <w:pStyle w:val="2"/>
        <w:tabs>
          <w:tab w:val="right" w:leader="dot" w:pos="8306"/>
        </w:tabs>
        <w:rPr>
          <w:rFonts w:ascii="仿宋" w:hAnsi="仿宋" w:eastAsia="仿宋" w:cs="仿宋"/>
          <w:sz w:val="32"/>
          <w:szCs w:val="32"/>
        </w:rPr>
      </w:pPr>
      <w:r>
        <w:fldChar w:fldCharType="begin"/>
      </w:r>
      <w:r>
        <w:instrText xml:space="preserve"> HYPERLINK \l "_Toc28171" </w:instrText>
      </w:r>
      <w:r>
        <w:fldChar w:fldCharType="separate"/>
      </w:r>
      <w:r>
        <w:rPr>
          <w:rFonts w:hint="eastAsia" w:ascii="仿宋" w:hAnsi="仿宋" w:eastAsia="仿宋" w:cs="仿宋"/>
          <w:sz w:val="32"/>
          <w:szCs w:val="32"/>
        </w:rPr>
        <w:t>（一）主要职责：</w:t>
      </w:r>
      <w:r>
        <w:rPr>
          <w:rFonts w:ascii="仿宋" w:hAnsi="仿宋" w:eastAsia="仿宋" w:cs="仿宋"/>
          <w:sz w:val="32"/>
          <w:szCs w:val="32"/>
        </w:rPr>
        <w:tab/>
      </w:r>
      <w:r>
        <w:rPr>
          <w:rFonts w:ascii="仿宋" w:hAnsi="仿宋" w:eastAsia="仿宋" w:cs="仿宋"/>
          <w:sz w:val="32"/>
          <w:szCs w:val="32"/>
        </w:rPr>
        <w:t>2</w:t>
      </w:r>
      <w:r>
        <w:rPr>
          <w:rFonts w:ascii="仿宋" w:hAnsi="仿宋" w:eastAsia="仿宋" w:cs="仿宋"/>
          <w:sz w:val="32"/>
          <w:szCs w:val="32"/>
        </w:rPr>
        <w:fldChar w:fldCharType="end"/>
      </w:r>
    </w:p>
    <w:p w14:paraId="03B632B0">
      <w:pPr>
        <w:pStyle w:val="2"/>
        <w:tabs>
          <w:tab w:val="right" w:leader="dot" w:pos="8306"/>
        </w:tabs>
        <w:rPr>
          <w:rFonts w:ascii="仿宋" w:hAnsi="仿宋" w:eastAsia="仿宋" w:cs="仿宋"/>
          <w:sz w:val="32"/>
          <w:szCs w:val="32"/>
        </w:rPr>
      </w:pPr>
      <w:r>
        <w:fldChar w:fldCharType="begin"/>
      </w:r>
      <w:r>
        <w:instrText xml:space="preserve"> HYPERLINK \l "_Toc25220" </w:instrText>
      </w:r>
      <w:r>
        <w:fldChar w:fldCharType="separate"/>
      </w:r>
      <w:r>
        <w:rPr>
          <w:rFonts w:hint="eastAsia" w:ascii="仿宋" w:hAnsi="仿宋" w:eastAsia="仿宋" w:cs="仿宋"/>
          <w:sz w:val="32"/>
          <w:szCs w:val="32"/>
        </w:rPr>
        <w:t>（二）部门基本情况</w:t>
      </w:r>
      <w:r>
        <w:rPr>
          <w:rFonts w:ascii="仿宋" w:hAnsi="仿宋" w:eastAsia="仿宋" w:cs="仿宋"/>
          <w:sz w:val="32"/>
          <w:szCs w:val="32"/>
        </w:rPr>
        <w:tab/>
      </w:r>
      <w:r>
        <w:rPr>
          <w:rFonts w:ascii="仿宋" w:hAnsi="仿宋" w:eastAsia="仿宋" w:cs="仿宋"/>
          <w:sz w:val="32"/>
          <w:szCs w:val="32"/>
        </w:rPr>
        <w:t>4</w:t>
      </w:r>
      <w:r>
        <w:rPr>
          <w:rFonts w:ascii="仿宋" w:hAnsi="仿宋" w:eastAsia="仿宋" w:cs="仿宋"/>
          <w:sz w:val="32"/>
          <w:szCs w:val="32"/>
        </w:rPr>
        <w:fldChar w:fldCharType="end"/>
      </w:r>
    </w:p>
    <w:p w14:paraId="3306CF00">
      <w:pPr>
        <w:pStyle w:val="5"/>
        <w:tabs>
          <w:tab w:val="right" w:leader="dot" w:pos="8306"/>
        </w:tabs>
        <w:rPr>
          <w:rFonts w:ascii="仿宋" w:hAnsi="仿宋" w:eastAsia="仿宋" w:cs="仿宋"/>
          <w:sz w:val="32"/>
          <w:szCs w:val="32"/>
        </w:rPr>
      </w:pPr>
      <w:r>
        <w:fldChar w:fldCharType="begin"/>
      </w:r>
      <w:r>
        <w:instrText xml:space="preserve"> HYPERLINK \l "_Toc19710" </w:instrText>
      </w:r>
      <w:r>
        <w:fldChar w:fldCharType="separate"/>
      </w:r>
      <w:r>
        <w:rPr>
          <w:rFonts w:hint="eastAsia" w:ascii="仿宋" w:hAnsi="仿宋" w:eastAsia="仿宋" w:cs="仿宋"/>
          <w:sz w:val="32"/>
          <w:szCs w:val="32"/>
        </w:rPr>
        <w:t>第二部分</w:t>
      </w:r>
      <w:r>
        <w:rPr>
          <w:rFonts w:ascii="仿宋" w:hAnsi="仿宋" w:eastAsia="仿宋" w:cs="仿宋"/>
          <w:sz w:val="32"/>
          <w:szCs w:val="32"/>
        </w:rPr>
        <w:t xml:space="preserve">  </w:t>
      </w:r>
      <w:r>
        <w:rPr>
          <w:rFonts w:hint="eastAsia" w:ascii="仿宋" w:hAnsi="仿宋" w:eastAsia="仿宋" w:cs="仿宋"/>
          <w:sz w:val="32"/>
          <w:szCs w:val="32"/>
        </w:rPr>
        <w:t>区应急管理局</w:t>
      </w:r>
      <w:r>
        <w:rPr>
          <w:rFonts w:ascii="仿宋" w:hAnsi="仿宋" w:eastAsia="仿宋" w:cs="仿宋"/>
          <w:sz w:val="32"/>
          <w:szCs w:val="32"/>
        </w:rPr>
        <w:t>2023</w:t>
      </w:r>
      <w:r>
        <w:rPr>
          <w:rFonts w:hint="eastAsia" w:ascii="仿宋" w:hAnsi="仿宋" w:eastAsia="仿宋" w:cs="仿宋"/>
          <w:sz w:val="32"/>
          <w:szCs w:val="32"/>
        </w:rPr>
        <w:t>年部门预算情况说明</w:t>
      </w:r>
      <w:r>
        <w:rPr>
          <w:rFonts w:ascii="仿宋" w:hAnsi="仿宋" w:eastAsia="仿宋" w:cs="仿宋"/>
          <w:sz w:val="32"/>
          <w:szCs w:val="32"/>
        </w:rPr>
        <w:tab/>
      </w:r>
      <w:r>
        <w:rPr>
          <w:rFonts w:ascii="仿宋" w:hAnsi="仿宋" w:eastAsia="仿宋" w:cs="仿宋"/>
          <w:sz w:val="32"/>
          <w:szCs w:val="32"/>
        </w:rPr>
        <w:t>4</w:t>
      </w:r>
      <w:r>
        <w:rPr>
          <w:rFonts w:ascii="仿宋" w:hAnsi="仿宋" w:eastAsia="仿宋" w:cs="仿宋"/>
          <w:sz w:val="32"/>
          <w:szCs w:val="32"/>
        </w:rPr>
        <w:fldChar w:fldCharType="end"/>
      </w:r>
    </w:p>
    <w:p w14:paraId="5F51058C">
      <w:pPr>
        <w:pStyle w:val="6"/>
        <w:tabs>
          <w:tab w:val="right" w:leader="dot" w:pos="8306"/>
        </w:tabs>
        <w:rPr>
          <w:rFonts w:ascii="仿宋" w:hAnsi="仿宋" w:eastAsia="仿宋" w:cs="仿宋"/>
          <w:sz w:val="32"/>
          <w:szCs w:val="32"/>
        </w:rPr>
      </w:pPr>
      <w:r>
        <w:fldChar w:fldCharType="begin"/>
      </w:r>
      <w:r>
        <w:instrText xml:space="preserve"> HYPERLINK \l "_Toc29265" </w:instrText>
      </w:r>
      <w:r>
        <w:fldChar w:fldCharType="separate"/>
      </w:r>
      <w:r>
        <w:rPr>
          <w:rFonts w:hint="eastAsia" w:ascii="仿宋" w:hAnsi="仿宋" w:eastAsia="仿宋" w:cs="仿宋"/>
          <w:sz w:val="32"/>
          <w:szCs w:val="32"/>
        </w:rPr>
        <w:t>一、</w:t>
      </w:r>
      <w:r>
        <w:rPr>
          <w:rFonts w:ascii="仿宋" w:hAnsi="仿宋" w:eastAsia="仿宋" w:cs="仿宋"/>
          <w:sz w:val="32"/>
          <w:szCs w:val="32"/>
        </w:rPr>
        <w:t>2023</w:t>
      </w:r>
      <w:r>
        <w:rPr>
          <w:rFonts w:hint="eastAsia" w:ascii="仿宋" w:hAnsi="仿宋" w:eastAsia="仿宋" w:cs="仿宋"/>
          <w:sz w:val="32"/>
          <w:szCs w:val="32"/>
        </w:rPr>
        <w:t>年部门预算收支情况说明</w:t>
      </w:r>
      <w:r>
        <w:rPr>
          <w:rFonts w:ascii="仿宋" w:hAnsi="仿宋" w:eastAsia="仿宋" w:cs="仿宋"/>
          <w:sz w:val="32"/>
          <w:szCs w:val="32"/>
        </w:rPr>
        <w:tab/>
      </w:r>
      <w:r>
        <w:rPr>
          <w:rFonts w:ascii="仿宋" w:hAnsi="仿宋" w:eastAsia="仿宋" w:cs="仿宋"/>
          <w:sz w:val="32"/>
          <w:szCs w:val="32"/>
        </w:rPr>
        <w:t>4</w:t>
      </w:r>
      <w:r>
        <w:rPr>
          <w:rFonts w:ascii="仿宋" w:hAnsi="仿宋" w:eastAsia="仿宋" w:cs="仿宋"/>
          <w:sz w:val="32"/>
          <w:szCs w:val="32"/>
        </w:rPr>
        <w:fldChar w:fldCharType="end"/>
      </w:r>
    </w:p>
    <w:p w14:paraId="4F4A79D9">
      <w:pPr>
        <w:pStyle w:val="2"/>
        <w:tabs>
          <w:tab w:val="right" w:leader="dot" w:pos="8306"/>
        </w:tabs>
        <w:rPr>
          <w:rFonts w:ascii="仿宋" w:hAnsi="仿宋" w:eastAsia="仿宋" w:cs="仿宋"/>
          <w:sz w:val="32"/>
          <w:szCs w:val="32"/>
        </w:rPr>
      </w:pPr>
      <w:r>
        <w:fldChar w:fldCharType="begin"/>
      </w:r>
      <w:r>
        <w:instrText xml:space="preserve"> HYPERLINK \l "_Toc24255" </w:instrText>
      </w:r>
      <w:r>
        <w:fldChar w:fldCharType="separate"/>
      </w:r>
      <w:r>
        <w:rPr>
          <w:rFonts w:hint="eastAsia" w:ascii="仿宋" w:hAnsi="仿宋" w:eastAsia="仿宋" w:cs="仿宋"/>
          <w:sz w:val="32"/>
          <w:szCs w:val="32"/>
        </w:rPr>
        <w:t>（一）收入预算情况</w:t>
      </w:r>
      <w:r>
        <w:rPr>
          <w:rFonts w:ascii="仿宋" w:hAnsi="仿宋" w:eastAsia="仿宋" w:cs="仿宋"/>
          <w:sz w:val="32"/>
          <w:szCs w:val="32"/>
        </w:rPr>
        <w:tab/>
      </w:r>
      <w:r>
        <w:rPr>
          <w:rFonts w:ascii="仿宋" w:hAnsi="仿宋" w:eastAsia="仿宋" w:cs="仿宋"/>
          <w:sz w:val="32"/>
          <w:szCs w:val="32"/>
        </w:rPr>
        <w:t>4</w:t>
      </w:r>
      <w:r>
        <w:rPr>
          <w:rFonts w:ascii="仿宋" w:hAnsi="仿宋" w:eastAsia="仿宋" w:cs="仿宋"/>
          <w:sz w:val="32"/>
          <w:szCs w:val="32"/>
        </w:rPr>
        <w:fldChar w:fldCharType="end"/>
      </w:r>
    </w:p>
    <w:p w14:paraId="4D8CDAA1">
      <w:pPr>
        <w:pStyle w:val="2"/>
        <w:tabs>
          <w:tab w:val="right" w:leader="dot" w:pos="8306"/>
        </w:tabs>
        <w:rPr>
          <w:rFonts w:ascii="仿宋" w:hAnsi="仿宋" w:eastAsia="仿宋" w:cs="仿宋"/>
          <w:sz w:val="32"/>
          <w:szCs w:val="32"/>
        </w:rPr>
      </w:pPr>
      <w:r>
        <w:fldChar w:fldCharType="begin"/>
      </w:r>
      <w:r>
        <w:instrText xml:space="preserve"> HYPERLINK \l "_Toc9264" </w:instrText>
      </w:r>
      <w:r>
        <w:fldChar w:fldCharType="separate"/>
      </w:r>
      <w:r>
        <w:rPr>
          <w:rFonts w:hint="eastAsia" w:ascii="仿宋" w:hAnsi="仿宋" w:eastAsia="仿宋" w:cs="仿宋"/>
          <w:sz w:val="32"/>
          <w:szCs w:val="32"/>
        </w:rPr>
        <w:t>（二）</w:t>
      </w:r>
      <w:r>
        <w:rPr>
          <w:rFonts w:ascii="仿宋" w:hAnsi="仿宋" w:eastAsia="仿宋" w:cs="仿宋"/>
          <w:sz w:val="32"/>
          <w:szCs w:val="32"/>
        </w:rPr>
        <w:t xml:space="preserve"> </w:t>
      </w:r>
      <w:r>
        <w:rPr>
          <w:rFonts w:hint="eastAsia" w:ascii="仿宋" w:hAnsi="仿宋" w:eastAsia="仿宋" w:cs="仿宋"/>
          <w:sz w:val="32"/>
          <w:szCs w:val="32"/>
        </w:rPr>
        <w:t>预算支出情况</w:t>
      </w:r>
      <w:r>
        <w:rPr>
          <w:rFonts w:ascii="仿宋" w:hAnsi="仿宋" w:eastAsia="仿宋" w:cs="仿宋"/>
          <w:sz w:val="32"/>
          <w:szCs w:val="32"/>
        </w:rPr>
        <w:tab/>
      </w:r>
      <w:r>
        <w:rPr>
          <w:rFonts w:ascii="仿宋" w:hAnsi="仿宋" w:eastAsia="仿宋" w:cs="仿宋"/>
          <w:sz w:val="32"/>
          <w:szCs w:val="32"/>
        </w:rPr>
        <w:t>4</w:t>
      </w:r>
      <w:r>
        <w:rPr>
          <w:rFonts w:ascii="仿宋" w:hAnsi="仿宋" w:eastAsia="仿宋" w:cs="仿宋"/>
          <w:sz w:val="32"/>
          <w:szCs w:val="32"/>
        </w:rPr>
        <w:fldChar w:fldCharType="end"/>
      </w:r>
    </w:p>
    <w:p w14:paraId="30068572">
      <w:pPr>
        <w:pStyle w:val="2"/>
        <w:tabs>
          <w:tab w:val="right" w:leader="dot" w:pos="8306"/>
        </w:tabs>
        <w:rPr>
          <w:rFonts w:ascii="仿宋" w:hAnsi="仿宋" w:eastAsia="仿宋" w:cs="仿宋"/>
          <w:sz w:val="32"/>
          <w:szCs w:val="32"/>
        </w:rPr>
      </w:pPr>
      <w:r>
        <w:fldChar w:fldCharType="begin"/>
      </w:r>
      <w:r>
        <w:instrText xml:space="preserve"> HYPERLINK \l "_Toc5087" </w:instrText>
      </w:r>
      <w:r>
        <w:fldChar w:fldCharType="separate"/>
      </w:r>
      <w:r>
        <w:rPr>
          <w:rFonts w:hint="eastAsia" w:ascii="仿宋" w:hAnsi="仿宋" w:eastAsia="仿宋" w:cs="仿宋"/>
          <w:sz w:val="32"/>
          <w:szCs w:val="32"/>
        </w:rPr>
        <w:t>（三）财政拨款支出情况</w:t>
      </w:r>
      <w:r>
        <w:rPr>
          <w:rFonts w:ascii="仿宋" w:hAnsi="仿宋" w:eastAsia="仿宋" w:cs="仿宋"/>
          <w:sz w:val="32"/>
          <w:szCs w:val="32"/>
        </w:rPr>
        <w:tab/>
      </w:r>
      <w:r>
        <w:rPr>
          <w:rFonts w:ascii="仿宋" w:hAnsi="仿宋" w:eastAsia="仿宋" w:cs="仿宋"/>
          <w:sz w:val="32"/>
          <w:szCs w:val="32"/>
        </w:rPr>
        <w:t>5</w:t>
      </w:r>
      <w:r>
        <w:rPr>
          <w:rFonts w:ascii="仿宋" w:hAnsi="仿宋" w:eastAsia="仿宋" w:cs="仿宋"/>
          <w:sz w:val="32"/>
          <w:szCs w:val="32"/>
        </w:rPr>
        <w:fldChar w:fldCharType="end"/>
      </w:r>
    </w:p>
    <w:p w14:paraId="3209B458">
      <w:pPr>
        <w:pStyle w:val="2"/>
        <w:tabs>
          <w:tab w:val="right" w:leader="dot" w:pos="8306"/>
        </w:tabs>
        <w:rPr>
          <w:rFonts w:ascii="仿宋" w:hAnsi="仿宋" w:eastAsia="仿宋" w:cs="仿宋"/>
          <w:sz w:val="32"/>
          <w:szCs w:val="32"/>
        </w:rPr>
      </w:pPr>
      <w:r>
        <w:fldChar w:fldCharType="begin"/>
      </w:r>
      <w:r>
        <w:instrText xml:space="preserve"> HYPERLINK \l "_Toc9277" </w:instrText>
      </w:r>
      <w:r>
        <w:fldChar w:fldCharType="separate"/>
      </w:r>
      <w:r>
        <w:rPr>
          <w:rFonts w:hint="eastAsia" w:ascii="仿宋" w:hAnsi="仿宋" w:eastAsia="仿宋" w:cs="仿宋"/>
          <w:sz w:val="32"/>
          <w:szCs w:val="32"/>
        </w:rPr>
        <w:t>（四）政府性基金情况</w:t>
      </w:r>
      <w:r>
        <w:rPr>
          <w:rFonts w:ascii="仿宋" w:hAnsi="仿宋" w:eastAsia="仿宋" w:cs="仿宋"/>
          <w:sz w:val="32"/>
          <w:szCs w:val="32"/>
        </w:rPr>
        <w:tab/>
      </w:r>
      <w:r>
        <w:rPr>
          <w:rFonts w:ascii="仿宋" w:hAnsi="仿宋" w:eastAsia="仿宋" w:cs="仿宋"/>
          <w:sz w:val="32"/>
          <w:szCs w:val="32"/>
        </w:rPr>
        <w:t>6</w:t>
      </w:r>
      <w:r>
        <w:rPr>
          <w:rFonts w:ascii="仿宋" w:hAnsi="仿宋" w:eastAsia="仿宋" w:cs="仿宋"/>
          <w:sz w:val="32"/>
          <w:szCs w:val="32"/>
        </w:rPr>
        <w:fldChar w:fldCharType="end"/>
      </w:r>
    </w:p>
    <w:p w14:paraId="2C4EB001">
      <w:pPr>
        <w:pStyle w:val="2"/>
        <w:tabs>
          <w:tab w:val="right" w:leader="dot" w:pos="8306"/>
        </w:tabs>
        <w:rPr>
          <w:rFonts w:ascii="仿宋" w:hAnsi="仿宋" w:eastAsia="仿宋" w:cs="仿宋"/>
          <w:sz w:val="32"/>
          <w:szCs w:val="32"/>
        </w:rPr>
      </w:pPr>
      <w:r>
        <w:fldChar w:fldCharType="begin"/>
      </w:r>
      <w:r>
        <w:instrText xml:space="preserve"> HYPERLINK \l "_Toc13966" </w:instrText>
      </w:r>
      <w:r>
        <w:fldChar w:fldCharType="separate"/>
      </w:r>
      <w:r>
        <w:rPr>
          <w:rFonts w:hint="eastAsia" w:ascii="仿宋" w:hAnsi="仿宋" w:eastAsia="仿宋" w:cs="仿宋"/>
          <w:sz w:val="32"/>
          <w:szCs w:val="32"/>
        </w:rPr>
        <w:t>（五）机关运行经费等重要事项的说明</w:t>
      </w:r>
      <w:r>
        <w:rPr>
          <w:rFonts w:ascii="仿宋" w:hAnsi="仿宋" w:eastAsia="仿宋" w:cs="仿宋"/>
          <w:sz w:val="32"/>
          <w:szCs w:val="32"/>
        </w:rPr>
        <w:tab/>
      </w:r>
      <w:r>
        <w:rPr>
          <w:rFonts w:ascii="仿宋" w:hAnsi="仿宋" w:eastAsia="仿宋" w:cs="仿宋"/>
          <w:sz w:val="32"/>
          <w:szCs w:val="32"/>
        </w:rPr>
        <w:t>6</w:t>
      </w:r>
      <w:r>
        <w:rPr>
          <w:rFonts w:ascii="仿宋" w:hAnsi="仿宋" w:eastAsia="仿宋" w:cs="仿宋"/>
          <w:sz w:val="32"/>
          <w:szCs w:val="32"/>
        </w:rPr>
        <w:fldChar w:fldCharType="end"/>
      </w:r>
    </w:p>
    <w:p w14:paraId="0B76E813">
      <w:pPr>
        <w:pStyle w:val="2"/>
        <w:tabs>
          <w:tab w:val="right" w:leader="dot" w:pos="8306"/>
        </w:tabs>
        <w:rPr>
          <w:rFonts w:ascii="仿宋" w:hAnsi="仿宋" w:eastAsia="仿宋" w:cs="仿宋"/>
          <w:sz w:val="32"/>
          <w:szCs w:val="32"/>
        </w:rPr>
      </w:pPr>
      <w:r>
        <w:fldChar w:fldCharType="begin"/>
      </w:r>
      <w:r>
        <w:instrText xml:space="preserve"> HYPERLINK \l "_Toc20556" </w:instrText>
      </w:r>
      <w:r>
        <w:fldChar w:fldCharType="separate"/>
      </w:r>
      <w:r>
        <w:rPr>
          <w:rFonts w:hint="eastAsia" w:ascii="仿宋" w:hAnsi="仿宋" w:eastAsia="仿宋" w:cs="仿宋"/>
          <w:sz w:val="32"/>
          <w:szCs w:val="32"/>
        </w:rPr>
        <w:t>（六）政府采购情况</w:t>
      </w:r>
      <w:r>
        <w:rPr>
          <w:rFonts w:ascii="仿宋" w:hAnsi="仿宋" w:eastAsia="仿宋" w:cs="仿宋"/>
          <w:sz w:val="32"/>
          <w:szCs w:val="32"/>
        </w:rPr>
        <w:tab/>
      </w:r>
      <w:r>
        <w:rPr>
          <w:rFonts w:ascii="仿宋" w:hAnsi="仿宋" w:eastAsia="仿宋" w:cs="仿宋"/>
          <w:sz w:val="32"/>
          <w:szCs w:val="32"/>
        </w:rPr>
        <w:t>6</w:t>
      </w:r>
      <w:r>
        <w:rPr>
          <w:rFonts w:ascii="仿宋" w:hAnsi="仿宋" w:eastAsia="仿宋" w:cs="仿宋"/>
          <w:sz w:val="32"/>
          <w:szCs w:val="32"/>
        </w:rPr>
        <w:fldChar w:fldCharType="end"/>
      </w:r>
    </w:p>
    <w:p w14:paraId="6A5B9CAA">
      <w:pPr>
        <w:pStyle w:val="2"/>
        <w:tabs>
          <w:tab w:val="right" w:leader="dot" w:pos="8306"/>
        </w:tabs>
        <w:rPr>
          <w:rFonts w:ascii="仿宋" w:hAnsi="仿宋" w:eastAsia="仿宋" w:cs="仿宋"/>
          <w:sz w:val="32"/>
          <w:szCs w:val="32"/>
        </w:rPr>
      </w:pPr>
      <w:r>
        <w:fldChar w:fldCharType="begin"/>
      </w:r>
      <w:r>
        <w:instrText xml:space="preserve"> HYPERLINK \l "_Toc46" </w:instrText>
      </w:r>
      <w:r>
        <w:fldChar w:fldCharType="separate"/>
      </w:r>
      <w:r>
        <w:rPr>
          <w:rFonts w:hint="eastAsia" w:ascii="仿宋" w:hAnsi="仿宋" w:eastAsia="仿宋" w:cs="仿宋"/>
          <w:sz w:val="32"/>
          <w:szCs w:val="32"/>
        </w:rPr>
        <w:t>（七）国有资产占用情况说明。</w:t>
      </w:r>
      <w:r>
        <w:rPr>
          <w:rFonts w:ascii="仿宋" w:hAnsi="仿宋" w:eastAsia="仿宋" w:cs="仿宋"/>
          <w:sz w:val="32"/>
          <w:szCs w:val="32"/>
        </w:rPr>
        <w:tab/>
      </w:r>
      <w:r>
        <w:rPr>
          <w:rFonts w:ascii="仿宋" w:hAnsi="仿宋" w:eastAsia="仿宋" w:cs="仿宋"/>
          <w:sz w:val="32"/>
          <w:szCs w:val="32"/>
        </w:rPr>
        <w:t>6</w:t>
      </w:r>
      <w:r>
        <w:rPr>
          <w:rFonts w:ascii="仿宋" w:hAnsi="仿宋" w:eastAsia="仿宋" w:cs="仿宋"/>
          <w:sz w:val="32"/>
          <w:szCs w:val="32"/>
        </w:rPr>
        <w:fldChar w:fldCharType="end"/>
      </w:r>
    </w:p>
    <w:p w14:paraId="1820298E">
      <w:pPr>
        <w:pStyle w:val="2"/>
        <w:tabs>
          <w:tab w:val="right" w:leader="dot" w:pos="8306"/>
        </w:tabs>
        <w:rPr>
          <w:rFonts w:ascii="仿宋" w:hAnsi="仿宋" w:eastAsia="仿宋" w:cs="仿宋"/>
          <w:sz w:val="32"/>
          <w:szCs w:val="32"/>
        </w:rPr>
      </w:pPr>
      <w:r>
        <w:fldChar w:fldCharType="begin"/>
      </w:r>
      <w:r>
        <w:instrText xml:space="preserve"> HYPERLINK \l "_Toc27563" </w:instrText>
      </w:r>
      <w:r>
        <w:fldChar w:fldCharType="separate"/>
      </w:r>
      <w:r>
        <w:rPr>
          <w:rFonts w:hint="eastAsia" w:ascii="仿宋" w:hAnsi="仿宋" w:eastAsia="仿宋" w:cs="仿宋"/>
          <w:sz w:val="32"/>
          <w:szCs w:val="32"/>
        </w:rPr>
        <w:t>（八）预算绩效情况说明</w:t>
      </w:r>
      <w:r>
        <w:rPr>
          <w:rFonts w:ascii="仿宋" w:hAnsi="仿宋" w:eastAsia="仿宋" w:cs="仿宋"/>
          <w:sz w:val="32"/>
          <w:szCs w:val="32"/>
        </w:rPr>
        <w:tab/>
      </w:r>
      <w:r>
        <w:rPr>
          <w:rFonts w:ascii="仿宋" w:hAnsi="仿宋" w:eastAsia="仿宋" w:cs="仿宋"/>
          <w:sz w:val="32"/>
          <w:szCs w:val="32"/>
        </w:rPr>
        <w:t>6</w:t>
      </w:r>
      <w:r>
        <w:rPr>
          <w:rFonts w:ascii="仿宋" w:hAnsi="仿宋" w:eastAsia="仿宋" w:cs="仿宋"/>
          <w:sz w:val="32"/>
          <w:szCs w:val="32"/>
        </w:rPr>
        <w:fldChar w:fldCharType="end"/>
      </w:r>
    </w:p>
    <w:p w14:paraId="47F3772A">
      <w:pPr>
        <w:pStyle w:val="6"/>
        <w:tabs>
          <w:tab w:val="right" w:leader="dot" w:pos="8306"/>
        </w:tabs>
        <w:rPr>
          <w:rFonts w:ascii="仿宋" w:hAnsi="仿宋" w:eastAsia="仿宋" w:cs="仿宋"/>
          <w:sz w:val="32"/>
          <w:szCs w:val="32"/>
        </w:rPr>
      </w:pPr>
      <w:r>
        <w:fldChar w:fldCharType="begin"/>
      </w:r>
      <w:r>
        <w:instrText xml:space="preserve"> HYPERLINK \l "_Toc8316" </w:instrText>
      </w:r>
      <w:r>
        <w:fldChar w:fldCharType="separate"/>
      </w:r>
      <w:r>
        <w:rPr>
          <w:rFonts w:hint="eastAsia" w:ascii="仿宋" w:hAnsi="仿宋" w:eastAsia="仿宋" w:cs="仿宋"/>
          <w:sz w:val="32"/>
          <w:szCs w:val="32"/>
        </w:rPr>
        <w:t>二、</w:t>
      </w:r>
      <w:r>
        <w:rPr>
          <w:rFonts w:ascii="仿宋" w:hAnsi="仿宋" w:eastAsia="仿宋" w:cs="仿宋"/>
          <w:sz w:val="32"/>
          <w:szCs w:val="32"/>
        </w:rPr>
        <w:t>2023</w:t>
      </w:r>
      <w:r>
        <w:rPr>
          <w:rFonts w:hint="eastAsia" w:ascii="仿宋" w:hAnsi="仿宋" w:eastAsia="仿宋" w:cs="仿宋"/>
          <w:sz w:val="32"/>
          <w:szCs w:val="32"/>
        </w:rPr>
        <w:t>年“三公”经费预算情况说明</w:t>
      </w:r>
      <w:r>
        <w:rPr>
          <w:rFonts w:ascii="仿宋" w:hAnsi="仿宋" w:eastAsia="仿宋" w:cs="仿宋"/>
          <w:sz w:val="32"/>
          <w:szCs w:val="32"/>
        </w:rPr>
        <w:tab/>
      </w:r>
      <w:r>
        <w:rPr>
          <w:rFonts w:ascii="仿宋" w:hAnsi="仿宋" w:eastAsia="仿宋" w:cs="仿宋"/>
          <w:sz w:val="32"/>
          <w:szCs w:val="32"/>
        </w:rPr>
        <w:t>6</w:t>
      </w:r>
      <w:r>
        <w:rPr>
          <w:rFonts w:ascii="仿宋" w:hAnsi="仿宋" w:eastAsia="仿宋" w:cs="仿宋"/>
          <w:sz w:val="32"/>
          <w:szCs w:val="32"/>
        </w:rPr>
        <w:fldChar w:fldCharType="end"/>
      </w:r>
    </w:p>
    <w:p w14:paraId="4AEC5192">
      <w:pPr>
        <w:pStyle w:val="5"/>
        <w:tabs>
          <w:tab w:val="right" w:leader="dot" w:pos="8306"/>
        </w:tabs>
        <w:rPr>
          <w:rFonts w:ascii="仿宋" w:hAnsi="仿宋" w:eastAsia="仿宋" w:cs="仿宋"/>
          <w:sz w:val="32"/>
          <w:szCs w:val="32"/>
        </w:rPr>
      </w:pPr>
      <w:r>
        <w:fldChar w:fldCharType="begin"/>
      </w:r>
      <w:r>
        <w:instrText xml:space="preserve"> HYPERLINK \l "_Toc8736" </w:instrText>
      </w:r>
      <w:r>
        <w:fldChar w:fldCharType="separate"/>
      </w:r>
      <w:r>
        <w:rPr>
          <w:rFonts w:hint="eastAsia" w:ascii="仿宋" w:hAnsi="仿宋" w:eastAsia="仿宋" w:cs="仿宋"/>
          <w:sz w:val="32"/>
          <w:szCs w:val="32"/>
        </w:rPr>
        <w:t>第三部分</w:t>
      </w:r>
      <w:r>
        <w:rPr>
          <w:rFonts w:ascii="仿宋" w:hAnsi="仿宋" w:eastAsia="仿宋" w:cs="仿宋"/>
          <w:sz w:val="32"/>
          <w:szCs w:val="32"/>
        </w:rPr>
        <w:t xml:space="preserve">  </w:t>
      </w:r>
      <w:r>
        <w:rPr>
          <w:rFonts w:hint="eastAsia" w:ascii="仿宋" w:hAnsi="仿宋" w:eastAsia="仿宋" w:cs="仿宋"/>
          <w:sz w:val="32"/>
          <w:szCs w:val="32"/>
        </w:rPr>
        <w:t>区应急管理局</w:t>
      </w:r>
      <w:r>
        <w:rPr>
          <w:rFonts w:ascii="仿宋" w:hAnsi="仿宋" w:eastAsia="仿宋" w:cs="仿宋"/>
          <w:sz w:val="32"/>
          <w:szCs w:val="32"/>
        </w:rPr>
        <w:t>2023</w:t>
      </w:r>
      <w:r>
        <w:rPr>
          <w:rFonts w:hint="eastAsia" w:ascii="仿宋" w:hAnsi="仿宋" w:eastAsia="仿宋" w:cs="仿宋"/>
          <w:sz w:val="32"/>
          <w:szCs w:val="32"/>
        </w:rPr>
        <w:t>年部门预算表</w:t>
      </w:r>
      <w:r>
        <w:rPr>
          <w:rFonts w:ascii="仿宋" w:hAnsi="仿宋" w:eastAsia="仿宋" w:cs="仿宋"/>
          <w:sz w:val="32"/>
          <w:szCs w:val="32"/>
        </w:rPr>
        <w:tab/>
      </w:r>
      <w:r>
        <w:rPr>
          <w:rFonts w:ascii="仿宋" w:hAnsi="仿宋" w:eastAsia="仿宋" w:cs="仿宋"/>
          <w:sz w:val="32"/>
          <w:szCs w:val="32"/>
        </w:rPr>
        <w:t>7</w:t>
      </w:r>
      <w:r>
        <w:rPr>
          <w:rFonts w:ascii="仿宋" w:hAnsi="仿宋" w:eastAsia="仿宋" w:cs="仿宋"/>
          <w:sz w:val="32"/>
          <w:szCs w:val="32"/>
        </w:rPr>
        <w:fldChar w:fldCharType="end"/>
      </w:r>
    </w:p>
    <w:p w14:paraId="4D333238">
      <w:pPr>
        <w:widowControl/>
        <w:spacing w:line="580" w:lineRule="exact"/>
        <w:jc w:val="left"/>
        <w:rPr>
          <w:rFonts w:ascii="仿宋" w:hAnsi="仿宋" w:eastAsia="仿宋" w:cs="仿宋"/>
          <w:b/>
          <w:sz w:val="32"/>
          <w:szCs w:val="32"/>
        </w:rPr>
      </w:pPr>
      <w:r>
        <w:fldChar w:fldCharType="begin"/>
      </w:r>
      <w:r>
        <w:instrText xml:space="preserve"> HYPERLINK \l "_Toc27426" </w:instrText>
      </w:r>
      <w:r>
        <w:fldChar w:fldCharType="separate"/>
      </w:r>
      <w:r>
        <w:rPr>
          <w:rFonts w:hint="eastAsia" w:ascii="仿宋" w:hAnsi="仿宋" w:eastAsia="仿宋" w:cs="仿宋"/>
          <w:sz w:val="32"/>
          <w:szCs w:val="32"/>
        </w:rPr>
        <w:t>第四部分</w:t>
      </w:r>
      <w:r>
        <w:rPr>
          <w:rFonts w:ascii="仿宋" w:hAnsi="仿宋" w:eastAsia="仿宋" w:cs="仿宋"/>
          <w:sz w:val="32"/>
          <w:szCs w:val="32"/>
        </w:rPr>
        <w:t xml:space="preserve">   </w:t>
      </w:r>
      <w:r>
        <w:rPr>
          <w:rFonts w:hint="eastAsia" w:ascii="仿宋" w:hAnsi="仿宋" w:eastAsia="仿宋" w:cs="仿宋"/>
          <w:sz w:val="32"/>
          <w:szCs w:val="32"/>
        </w:rPr>
        <w:t>名词解释</w:t>
      </w:r>
      <w:r>
        <w:rPr>
          <w:rFonts w:ascii="仿宋" w:hAnsi="仿宋" w:eastAsia="仿宋" w:cs="仿宋"/>
          <w:sz w:val="32"/>
          <w:szCs w:val="32"/>
        </w:rPr>
        <w:tab/>
      </w:r>
      <w:r>
        <w:rPr>
          <w:rFonts w:ascii="仿宋" w:hAnsi="仿宋" w:eastAsia="仿宋" w:cs="仿宋"/>
          <w:sz w:val="32"/>
          <w:szCs w:val="32"/>
        </w:rPr>
        <w:t>7</w:t>
      </w:r>
      <w:r>
        <w:rPr>
          <w:rFonts w:ascii="仿宋" w:hAnsi="仿宋" w:eastAsia="仿宋" w:cs="仿宋"/>
          <w:sz w:val="32"/>
          <w:szCs w:val="32"/>
        </w:rPr>
        <w:fldChar w:fldCharType="end"/>
      </w:r>
    </w:p>
    <w:p w14:paraId="3F4A6A01"/>
    <w:p w14:paraId="3317ECA6"/>
    <w:p w14:paraId="5C8E54CF"/>
    <w:p w14:paraId="6A7A2DDF">
      <w:pPr>
        <w:widowControl/>
        <w:spacing w:line="580" w:lineRule="exact"/>
        <w:ind w:firstLine="1601" w:firstLineChars="500"/>
        <w:jc w:val="left"/>
        <w:rPr>
          <w:rFonts w:ascii="??_GB2312" w:eastAsia="Times New Roman"/>
          <w:b/>
          <w:sz w:val="32"/>
          <w:szCs w:val="30"/>
        </w:rPr>
      </w:pPr>
      <w:r>
        <w:rPr>
          <w:rFonts w:ascii="??_GB2312" w:eastAsia="Times New Roman"/>
          <w:b/>
          <w:sz w:val="32"/>
          <w:szCs w:val="30"/>
        </w:rPr>
        <w:t>第一部分 渝水区应急管理局（部门）概况</w:t>
      </w:r>
    </w:p>
    <w:p w14:paraId="54311CF4">
      <w:pPr>
        <w:widowControl/>
        <w:spacing w:line="580" w:lineRule="exact"/>
        <w:ind w:firstLine="640"/>
        <w:jc w:val="left"/>
        <w:rPr>
          <w:rFonts w:ascii="楷体_GB2312" w:eastAsia="楷体_GB2312"/>
          <w:b/>
          <w:sz w:val="32"/>
          <w:szCs w:val="30"/>
        </w:rPr>
      </w:pPr>
    </w:p>
    <w:p w14:paraId="350B7080">
      <w:pPr>
        <w:numPr>
          <w:ilvl w:val="0"/>
          <w:numId w:val="1"/>
        </w:numPr>
        <w:rPr>
          <w:rFonts w:ascii="楷体_GB2312" w:eastAsia="楷体_GB2312"/>
          <w:b/>
          <w:sz w:val="32"/>
          <w:szCs w:val="30"/>
        </w:rPr>
      </w:pPr>
      <w:r>
        <w:rPr>
          <w:rFonts w:hint="eastAsia" w:ascii="楷体_GB2312" w:eastAsia="楷体_GB2312"/>
          <w:b/>
          <w:sz w:val="32"/>
          <w:szCs w:val="30"/>
        </w:rPr>
        <w:t>部门主要职责</w:t>
      </w:r>
    </w:p>
    <w:p w14:paraId="45A901D8">
      <w:pPr>
        <w:ind w:firstLine="640" w:firstLineChars="200"/>
        <w:rPr>
          <w:rFonts w:ascii="??_GB2312" w:eastAsia="Times New Roman" w:cs="宋体"/>
          <w:sz w:val="32"/>
          <w:szCs w:val="32"/>
        </w:rPr>
      </w:pPr>
      <w:r>
        <w:rPr>
          <w:rFonts w:ascii="??_GB2312" w:hAnsi="宋体" w:eastAsia="Times New Roman"/>
          <w:sz w:val="32"/>
          <w:szCs w:val="32"/>
        </w:rPr>
        <w:t>区应急管理局是主管安全生产，应急管理，防灾救灾工作的区政府组成部门（直属机构），主要职责是：</w:t>
      </w:r>
      <w:r>
        <w:rPr>
          <w:rFonts w:ascii="??_GB2312" w:eastAsia="Times New Roman" w:cs="宋体"/>
          <w:sz w:val="32"/>
          <w:szCs w:val="32"/>
        </w:rPr>
        <w:t>（一）综合管理全区安全生产工作，分析和预测全区安全生产形势，拟定全区安全生产工作规划，依法行使国家安全生产监督管理职权，指导、协调和监督政府职能部门专项安全工作。（二）宣传贯彻国家安全生产方针政策，负责起草安全生产方面的地方性法规，拟定本区区域内工矿商贸企业安全生产规章、规程和安全技术标准。（三）负责全区煤炭行业管理与煤矿安全生产监督管理。（四）负责监督烟花爆竹生产经营单位贯彻执行安全生产法律、法规的情况；组织查处不具备安全生产基本条件的烟花爆竹生产经营单位，组织查处烟花爆竹安全生产事故。（五）负责监督管理危险化学品生产经营单位安全生产工作。（六）负责作业场所职业卫生监督检查管理工作。（七）拟定下达全区安全生产年度工作计划和考核目标，并监督检查执行情况。（八）负责发布全区安全生产信息、综合管理全区伤亡事故的调查处理，按伤亡事故管理权限对有关事故进行结案批复，并按规定向上级报告。（九）指导、协调全区安全生产检测检验工作；组织实施对工矿商贸企业安全生产条件和有关设备进行检测检验、安全评价、安全咨询等业务的社会中介组织的资格认可工作，并负责监督检查。（十）组织全区安全生产方面的宣传教育和本系统安全生产监察人员的培训、考核工作；依法组织、指导并监督全区特种作业人员的培训、考核发证工作和企业主要经营管理者、注册安全主任的安全资格培训考核发证工作。（十一）监督工矿商贸企业贯彻执行安全生产法律、法规情况、安全生产条件、有关设备材料和劳动防护用品安全管理工作。（十二）负责新建、改建、扩建工程项目的安全设施和主体工程同时设计、同时施工、同时投入使用的安全监察检查工作。（十三）组织、指导安全科学技术研究、开发和新技术的推广工作，管理煤矿维简费等安全技术科研经费。（十四）负责区安全生产监督管理局的 日常工作。（十五）承办区政府及上级部门交办的其他事项。</w:t>
      </w:r>
    </w:p>
    <w:p w14:paraId="2522EB4E">
      <w:pPr>
        <w:ind w:firstLine="321" w:firstLineChars="100"/>
        <w:rPr>
          <w:rFonts w:ascii="楷体_GB2312" w:hAnsi="宋体" w:eastAsia="楷体_GB2312"/>
          <w:b/>
          <w:bCs/>
          <w:sz w:val="32"/>
          <w:szCs w:val="30"/>
        </w:rPr>
      </w:pPr>
      <w:r>
        <w:rPr>
          <w:rFonts w:hint="eastAsia" w:ascii="楷体_GB2312" w:hAnsi="宋体" w:eastAsia="楷体_GB2312"/>
          <w:b/>
          <w:bCs/>
          <w:sz w:val="32"/>
          <w:szCs w:val="30"/>
        </w:rPr>
        <w:t>二、部门基本情况</w:t>
      </w:r>
    </w:p>
    <w:p w14:paraId="1A32EF40">
      <w:pPr>
        <w:ind w:firstLine="640" w:firstLineChars="200"/>
        <w:rPr>
          <w:rFonts w:ascii="??_GB2312" w:hAnsi="宋体" w:eastAsia="Times New Roman"/>
          <w:sz w:val="32"/>
          <w:szCs w:val="30"/>
        </w:rPr>
      </w:pPr>
      <w:r>
        <w:rPr>
          <w:rFonts w:ascii="??_GB2312" w:hAnsi="宋体" w:eastAsia="Times New Roman"/>
          <w:sz w:val="32"/>
          <w:szCs w:val="30"/>
        </w:rPr>
        <w:t>区应急管理</w:t>
      </w:r>
      <w:bookmarkStart w:id="4" w:name="_GoBack"/>
      <w:bookmarkEnd w:id="4"/>
      <w:r>
        <w:rPr>
          <w:rFonts w:ascii="??_GB2312" w:hAnsi="宋体" w:eastAsia="Times New Roman"/>
          <w:sz w:val="32"/>
          <w:szCs w:val="30"/>
        </w:rPr>
        <w:t>局共有预算单位1个，包括局本级和0个所属二级预算单位。编制人数30人，其中：行政编制9人、全额补助事业编制21人、差额补助事业编制0人、自收自支事业编制0人；实有人数53人，其中：在职人数50人，包括行政人员9人、全额补助事业人员21人、差额补助事业人员0人、自收自支事业人员0人；离休人员0人；退休人员13人。在校学生0人，其中：高等学校0人、中等专业学校0人，其他20人</w:t>
      </w:r>
    </w:p>
    <w:p w14:paraId="3A6476BA">
      <w:pPr>
        <w:widowControl/>
        <w:numPr>
          <w:ilvl w:val="0"/>
          <w:numId w:val="2"/>
        </w:numPr>
        <w:spacing w:line="580" w:lineRule="exact"/>
        <w:rPr>
          <w:rFonts w:ascii="??_GB2312" w:eastAsia="Times New Roman"/>
          <w:b/>
          <w:sz w:val="32"/>
          <w:szCs w:val="30"/>
        </w:rPr>
      </w:pPr>
      <w:r>
        <w:rPr>
          <w:rFonts w:ascii="??_GB2312" w:hAnsi="Calibri" w:eastAsia="Times New Roman" w:cs="宋体"/>
          <w:b/>
          <w:kern w:val="0"/>
          <w:sz w:val="32"/>
          <w:szCs w:val="32"/>
        </w:rPr>
        <w:t xml:space="preserve"> 区应急管理局</w:t>
      </w:r>
      <w:r>
        <w:rPr>
          <w:rFonts w:ascii="??_GB2312" w:eastAsia="Times New Roman"/>
          <w:b/>
          <w:sz w:val="32"/>
          <w:szCs w:val="30"/>
        </w:rPr>
        <w:t>2023年部门预算情况说明</w:t>
      </w:r>
    </w:p>
    <w:p w14:paraId="6C9343D7">
      <w:pPr>
        <w:widowControl/>
        <w:spacing w:line="580" w:lineRule="exact"/>
        <w:ind w:firstLine="643" w:firstLineChars="200"/>
        <w:jc w:val="left"/>
        <w:rPr>
          <w:rFonts w:ascii="楷体_GB2312" w:eastAsia="楷体_GB2312"/>
          <w:b/>
          <w:sz w:val="32"/>
          <w:szCs w:val="30"/>
        </w:rPr>
      </w:pPr>
      <w:r>
        <w:rPr>
          <w:rFonts w:hint="eastAsia" w:ascii="楷体_GB2312" w:eastAsia="楷体_GB2312"/>
          <w:b/>
          <w:sz w:val="32"/>
          <w:szCs w:val="30"/>
        </w:rPr>
        <w:t>一、</w:t>
      </w:r>
      <w:r>
        <w:rPr>
          <w:rFonts w:ascii="楷体_GB2312" w:eastAsia="楷体_GB2312"/>
          <w:b/>
          <w:sz w:val="32"/>
          <w:szCs w:val="30"/>
        </w:rPr>
        <w:t>2023</w:t>
      </w:r>
      <w:r>
        <w:rPr>
          <w:rFonts w:hint="eastAsia" w:ascii="楷体_GB2312" w:eastAsia="楷体_GB2312"/>
          <w:b/>
          <w:sz w:val="32"/>
          <w:szCs w:val="30"/>
        </w:rPr>
        <w:t>年部门预算收支情况说明</w:t>
      </w:r>
    </w:p>
    <w:p w14:paraId="5F5CF710">
      <w:pPr>
        <w:widowControl/>
        <w:numPr>
          <w:ilvl w:val="0"/>
          <w:numId w:val="3"/>
        </w:numPr>
        <w:spacing w:line="580" w:lineRule="exact"/>
        <w:ind w:firstLine="640"/>
        <w:jc w:val="left"/>
        <w:rPr>
          <w:rFonts w:ascii="??_GB2312" w:eastAsia="Times New Roman"/>
          <w:b/>
          <w:sz w:val="32"/>
          <w:szCs w:val="30"/>
        </w:rPr>
      </w:pPr>
      <w:r>
        <w:rPr>
          <w:rFonts w:ascii="??_GB2312" w:eastAsia="Times New Roman"/>
          <w:b/>
          <w:sz w:val="32"/>
          <w:szCs w:val="30"/>
        </w:rPr>
        <w:t>收入预算情况</w:t>
      </w:r>
    </w:p>
    <w:p w14:paraId="75416921">
      <w:pPr>
        <w:ind w:firstLine="640" w:firstLineChars="200"/>
        <w:rPr>
          <w:rFonts w:ascii="??_GB2312" w:hAnsi="宋体" w:eastAsia="Times New Roman"/>
          <w:sz w:val="32"/>
          <w:szCs w:val="30"/>
        </w:rPr>
      </w:pPr>
      <w:r>
        <w:rPr>
          <w:rFonts w:ascii="??_GB2312" w:hAnsi="宋体" w:eastAsia="Times New Roman"/>
          <w:sz w:val="32"/>
          <w:szCs w:val="30"/>
        </w:rPr>
        <w:t>2023年区应急管理局收入预算总额为1401.05万元，其中财政拨款收入648.04万元，占收入预算总额的46.25%；事业收入0万元，占收入预算总额的0%；事业单位经营收入0万元，占收入预算总额的0%；其他收入0万元，占收入预算总额的0%；附属单位上缴收入0万元，占收入预算总额的0%；上级补助收入0万元，占收入预算总额的0%。</w:t>
      </w:r>
    </w:p>
    <w:p w14:paraId="501E6DAF">
      <w:pPr>
        <w:widowControl/>
        <w:spacing w:line="580" w:lineRule="exact"/>
        <w:ind w:firstLine="640" w:firstLineChars="200"/>
        <w:jc w:val="left"/>
        <w:rPr>
          <w:rFonts w:ascii="??_GB2312" w:eastAsia="Times New Roman"/>
          <w:b/>
          <w:sz w:val="32"/>
          <w:szCs w:val="30"/>
        </w:rPr>
      </w:pPr>
      <w:r>
        <w:rPr>
          <w:rFonts w:ascii="??_GB2312" w:eastAsia="Times New Roman"/>
          <w:b/>
          <w:sz w:val="32"/>
          <w:szCs w:val="30"/>
        </w:rPr>
        <w:t>（二）支出预算情况</w:t>
      </w:r>
    </w:p>
    <w:p w14:paraId="22B8825C">
      <w:pPr>
        <w:ind w:firstLine="640" w:firstLineChars="200"/>
        <w:rPr>
          <w:rFonts w:ascii="??_GB2312" w:hAnsi="宋体" w:eastAsia="Times New Roman"/>
          <w:sz w:val="32"/>
          <w:szCs w:val="30"/>
        </w:rPr>
      </w:pPr>
      <w:r>
        <w:rPr>
          <w:rFonts w:ascii="??_GB2312" w:hAnsi="宋体" w:eastAsia="Times New Roman"/>
          <w:sz w:val="32"/>
          <w:szCs w:val="30"/>
        </w:rPr>
        <w:t>2023年区应急管理局支出预算总额为1401.05万元。</w:t>
      </w:r>
    </w:p>
    <w:p w14:paraId="57D75526">
      <w:pPr>
        <w:ind w:firstLine="640" w:firstLineChars="200"/>
        <w:rPr>
          <w:rFonts w:ascii="??_GB2312" w:hAnsi="宋体" w:eastAsia="Times New Roman"/>
          <w:sz w:val="32"/>
          <w:szCs w:val="30"/>
        </w:rPr>
      </w:pPr>
      <w:r>
        <w:rPr>
          <w:rFonts w:ascii="??_GB2312" w:hAnsi="宋体" w:eastAsia="Times New Roman"/>
          <w:sz w:val="32"/>
          <w:szCs w:val="30"/>
        </w:rPr>
        <w:t>按支出项目类别划分：基本支出644.04万元，占支出预算总额的45.97%；包括工资福利支出580.37万元、商品和服务支出57.9万元、对个人和家庭的补助3.27万元，资本性支出2.5万元项目支出4万元，占支出预算总额的0.29%，包括行政事业性项目支出4万元、生产建设性项目支出0万元、其他项目支出0万元；事业单位经营支出0万元，占支出预算总额的0.29 %；对附属单位补助支出 0万元，占支出预算总额的0 %；上缴上级支出 0万元，占支出预算总额的0 %。</w:t>
      </w:r>
    </w:p>
    <w:p w14:paraId="732E6B01">
      <w:pPr>
        <w:ind w:firstLine="640" w:firstLineChars="200"/>
        <w:rPr>
          <w:rFonts w:ascii="??_GB2312" w:hAnsi="宋体" w:eastAsia="Times New Roman"/>
          <w:sz w:val="32"/>
          <w:szCs w:val="30"/>
        </w:rPr>
      </w:pPr>
      <w:r>
        <w:rPr>
          <w:rFonts w:ascii="??_GB2312" w:hAnsi="宋体" w:eastAsia="Times New Roman"/>
          <w:sz w:val="32"/>
          <w:szCs w:val="30"/>
        </w:rPr>
        <w:t>按支出功能科目划分：社会保障和就业支出97.26万元，占支出预算总额的6.94%；农林水支出64.47万元，占支出预算总额的4.6%；住房保障支出28.75万元，占支出预算总额的2.05%；灾害防治与应急管理支出1210.58万元，占支出预算总额的86.41%。</w:t>
      </w:r>
    </w:p>
    <w:p w14:paraId="74B9060A">
      <w:pPr>
        <w:ind w:firstLine="640" w:firstLineChars="200"/>
        <w:rPr>
          <w:rFonts w:ascii="??_GB2312" w:hAnsi="宋体" w:eastAsia="Times New Roman"/>
          <w:sz w:val="32"/>
          <w:szCs w:val="30"/>
        </w:rPr>
      </w:pPr>
      <w:r>
        <w:rPr>
          <w:rFonts w:ascii="??_GB2312" w:hAnsi="宋体" w:eastAsia="Times New Roman"/>
          <w:sz w:val="32"/>
          <w:szCs w:val="30"/>
        </w:rPr>
        <w:t>按支出经济分类划分：工资福利支出580.37万元，占支出预算总额的41.42%；商品和服务支出57.9万元，占支出预算总额的4.13%；对个人和家庭的补助支出3.27，占支出预算总额的0.23%；资本性支出2.5万元，占支出预算总额的0.17%。</w:t>
      </w:r>
    </w:p>
    <w:p w14:paraId="0BFB2918">
      <w:pPr>
        <w:ind w:firstLine="640" w:firstLineChars="200"/>
        <w:rPr>
          <w:rFonts w:ascii="??_GB2312" w:eastAsia="Times New Roman"/>
          <w:b/>
          <w:sz w:val="32"/>
          <w:szCs w:val="30"/>
        </w:rPr>
      </w:pPr>
      <w:r>
        <w:rPr>
          <w:rFonts w:ascii="??_GB2312" w:eastAsia="Times New Roman"/>
          <w:b/>
          <w:sz w:val="32"/>
          <w:szCs w:val="30"/>
        </w:rPr>
        <w:t>（三）财政拨款支出情况</w:t>
      </w:r>
    </w:p>
    <w:p w14:paraId="3D320E3F">
      <w:pPr>
        <w:ind w:firstLine="640" w:firstLineChars="200"/>
        <w:rPr>
          <w:rFonts w:ascii="??_GB2312" w:hAnsi="宋体" w:eastAsia="Times New Roman"/>
          <w:sz w:val="32"/>
          <w:szCs w:val="30"/>
        </w:rPr>
      </w:pPr>
      <w:r>
        <w:rPr>
          <w:rFonts w:ascii="??_GB2312" w:hAnsi="宋体" w:eastAsia="Times New Roman"/>
          <w:sz w:val="32"/>
          <w:szCs w:val="30"/>
        </w:rPr>
        <w:t>2023年区应急管理局财政拨款支出预算648.04万元，占支出预算总额的46.25%，比上年增加227万元，原因是：人员的变动。</w:t>
      </w:r>
    </w:p>
    <w:p w14:paraId="29A4A510">
      <w:pPr>
        <w:ind w:firstLine="640" w:firstLineChars="200"/>
        <w:rPr>
          <w:rFonts w:ascii="??_GB2312" w:hAnsi="宋体" w:eastAsia="Times New Roman"/>
          <w:sz w:val="32"/>
          <w:szCs w:val="30"/>
        </w:rPr>
      </w:pPr>
      <w:r>
        <w:rPr>
          <w:rFonts w:ascii="??_GB2312" w:hAnsi="宋体" w:eastAsia="Times New Roman"/>
          <w:sz w:val="32"/>
          <w:szCs w:val="30"/>
        </w:rPr>
        <w:t>按支出功能科目划分：社会保障和就业支出97.26万元，占财政拨款支出的15 %；住房保障支出28.75万元占财政拨款支出的4.34 %；灾害防治及应急管理局支出522.04，占财政拨款支出的80.56%。</w:t>
      </w:r>
    </w:p>
    <w:p w14:paraId="4902172A">
      <w:pPr>
        <w:ind w:firstLine="640" w:firstLineChars="200"/>
        <w:rPr>
          <w:rFonts w:ascii="??_GB2312" w:hAnsi="宋体" w:eastAsia="Times New Roman"/>
          <w:sz w:val="32"/>
          <w:szCs w:val="30"/>
        </w:rPr>
      </w:pPr>
      <w:r>
        <w:rPr>
          <w:rFonts w:hint="eastAsia" w:ascii="宋体" w:hAnsi="宋体" w:cs="宋体"/>
          <w:sz w:val="32"/>
          <w:szCs w:val="30"/>
        </w:rPr>
        <w:t>按支出经济分类划分：</w:t>
      </w:r>
      <w:r>
        <w:rPr>
          <w:rFonts w:ascii="??_GB2312" w:hAnsi="宋体" w:eastAsia="Times New Roman"/>
          <w:sz w:val="32"/>
          <w:szCs w:val="30"/>
        </w:rPr>
        <w:t>工资福利支出580.37万元，占支出预算总额的41.42%；商品和服务支出57.9万元，占支出预算总额的4.13%；对个人和家庭的补助支出3.27，占支出预算总额的0.23%；资本性支出2.5万元，占支出预算总额的0.17%。</w:t>
      </w:r>
    </w:p>
    <w:p w14:paraId="14D384B4">
      <w:pPr>
        <w:ind w:firstLine="640" w:firstLineChars="200"/>
        <w:rPr>
          <w:rFonts w:ascii="??_GB2312" w:hAnsi="宋体" w:eastAsia="Times New Roman"/>
          <w:sz w:val="32"/>
          <w:szCs w:val="30"/>
        </w:rPr>
      </w:pPr>
    </w:p>
    <w:p w14:paraId="706DFFAC">
      <w:pPr>
        <w:widowControl/>
        <w:spacing w:line="580" w:lineRule="exact"/>
        <w:ind w:firstLine="640" w:firstLineChars="200"/>
        <w:jc w:val="left"/>
        <w:rPr>
          <w:rFonts w:ascii="??_GB2312" w:eastAsia="Times New Roman"/>
          <w:b/>
          <w:sz w:val="32"/>
          <w:szCs w:val="30"/>
        </w:rPr>
      </w:pPr>
      <w:r>
        <w:rPr>
          <w:rFonts w:ascii="??_GB2312" w:eastAsia="Times New Roman"/>
          <w:b/>
          <w:sz w:val="32"/>
          <w:szCs w:val="30"/>
        </w:rPr>
        <w:t>（四）政府性基金情况</w:t>
      </w:r>
    </w:p>
    <w:p w14:paraId="1EAE668C">
      <w:pPr>
        <w:widowControl/>
        <w:spacing w:line="580" w:lineRule="exact"/>
        <w:ind w:firstLine="640"/>
        <w:jc w:val="left"/>
        <w:rPr>
          <w:rFonts w:ascii="??_GB2312" w:eastAsia="Times New Roman"/>
          <w:sz w:val="32"/>
          <w:szCs w:val="30"/>
        </w:rPr>
      </w:pPr>
      <w:r>
        <w:rPr>
          <w:rFonts w:ascii="??_GB2312" w:eastAsia="Times New Roman"/>
          <w:sz w:val="32"/>
          <w:szCs w:val="30"/>
        </w:rPr>
        <w:t>2023年本部门没有使用政府性基金预算拨款安排的支出。</w:t>
      </w:r>
    </w:p>
    <w:p w14:paraId="018A438B">
      <w:pPr>
        <w:widowControl/>
        <w:spacing w:line="580" w:lineRule="exact"/>
        <w:ind w:firstLine="640"/>
        <w:jc w:val="left"/>
        <w:rPr>
          <w:rFonts w:ascii="??_GB2312" w:eastAsia="Times New Roman"/>
          <w:b/>
          <w:sz w:val="32"/>
          <w:szCs w:val="30"/>
        </w:rPr>
      </w:pPr>
      <w:r>
        <w:rPr>
          <w:rFonts w:ascii="??_GB2312" w:eastAsia="Times New Roman"/>
          <w:b/>
          <w:sz w:val="32"/>
          <w:szCs w:val="30"/>
        </w:rPr>
        <w:t>（五）机关运行经费等重要事项的说明</w:t>
      </w:r>
    </w:p>
    <w:p w14:paraId="31E9C694">
      <w:pPr>
        <w:widowControl/>
        <w:spacing w:line="580" w:lineRule="exact"/>
        <w:ind w:firstLine="640"/>
        <w:jc w:val="left"/>
        <w:rPr>
          <w:rFonts w:ascii="??_GB2312" w:eastAsia="Times New Roman"/>
          <w:sz w:val="32"/>
          <w:szCs w:val="30"/>
        </w:rPr>
      </w:pPr>
      <w:r>
        <w:rPr>
          <w:rFonts w:ascii="??_GB2312" w:eastAsia="Times New Roman"/>
          <w:sz w:val="32"/>
          <w:szCs w:val="30"/>
        </w:rPr>
        <w:t>按照财政部《地方预决算公开操作规程》明确的口径计算，2022年本部门的公用经费60.4万元，其中：办公费6印刷费3.2万元、咨询费0.8万元、手续费0.2万元、水费1万元，电费6.8万元，邮电费1.75万元、取暖费4万元、差旅费0.4万元、维修（护）费1.8万元、培训费1.5万元、公务接待费1.5万元、工会经费2.87万元、公务用车运行维护9万元，其他费用11.57万元，其他商品和服务费5.5万元，办公设备购置2.5万元，较上年预算安排的增加19.31万元,原因是人员的变动。</w:t>
      </w:r>
    </w:p>
    <w:p w14:paraId="7EB0828E">
      <w:pPr>
        <w:widowControl/>
        <w:spacing w:line="580" w:lineRule="exact"/>
        <w:ind w:firstLine="640"/>
        <w:jc w:val="left"/>
        <w:rPr>
          <w:rFonts w:ascii="??_GB2312" w:eastAsia="Times New Roman"/>
          <w:b/>
          <w:sz w:val="32"/>
          <w:szCs w:val="30"/>
        </w:rPr>
      </w:pPr>
      <w:r>
        <w:rPr>
          <w:rFonts w:ascii="??_GB2312" w:eastAsia="Times New Roman"/>
          <w:b/>
          <w:sz w:val="32"/>
          <w:szCs w:val="30"/>
        </w:rPr>
        <w:t>（六）政府采购情况</w:t>
      </w:r>
    </w:p>
    <w:p w14:paraId="1D8D6341">
      <w:pPr>
        <w:widowControl/>
        <w:spacing w:line="580" w:lineRule="exact"/>
        <w:ind w:firstLine="800" w:firstLineChars="250"/>
        <w:jc w:val="left"/>
        <w:rPr>
          <w:rFonts w:ascii="??_GB2312" w:eastAsia="Times New Roman"/>
          <w:sz w:val="32"/>
          <w:szCs w:val="30"/>
        </w:rPr>
      </w:pPr>
      <w:r>
        <w:rPr>
          <w:rFonts w:ascii="??_GB2312" w:eastAsia="Times New Roman"/>
          <w:sz w:val="32"/>
          <w:szCs w:val="30"/>
        </w:rPr>
        <w:t>2023年本部门所属各单位政府采购总额2.5万元，其中政府采购货物预算2.5万元。</w:t>
      </w:r>
      <w:bookmarkStart w:id="0" w:name="_Toc46"/>
      <w:bookmarkStart w:id="1" w:name="_Toc13871"/>
    </w:p>
    <w:p w14:paraId="15211CFF">
      <w:pPr>
        <w:widowControl/>
        <w:spacing w:line="580" w:lineRule="exact"/>
        <w:ind w:firstLine="800" w:firstLineChars="250"/>
        <w:jc w:val="left"/>
        <w:rPr>
          <w:rFonts w:ascii="??_GB2312" w:eastAsia="Times New Roman"/>
          <w:b/>
          <w:sz w:val="32"/>
          <w:szCs w:val="30"/>
        </w:rPr>
      </w:pPr>
      <w:r>
        <w:rPr>
          <w:rFonts w:ascii="??_GB2312" w:eastAsia="Times New Roman"/>
          <w:b/>
          <w:sz w:val="32"/>
          <w:szCs w:val="30"/>
        </w:rPr>
        <w:t>（七）国有资产占用情况说明</w:t>
      </w:r>
      <w:bookmarkEnd w:id="0"/>
      <w:bookmarkEnd w:id="1"/>
    </w:p>
    <w:p w14:paraId="01D21C42">
      <w:pPr>
        <w:widowControl/>
        <w:spacing w:line="580" w:lineRule="exact"/>
        <w:ind w:firstLine="800" w:firstLineChars="250"/>
        <w:jc w:val="left"/>
        <w:rPr>
          <w:rFonts w:ascii="??_GB2312" w:eastAsia="Times New Roman"/>
          <w:sz w:val="32"/>
          <w:szCs w:val="30"/>
        </w:rPr>
      </w:pPr>
      <w:r>
        <w:rPr>
          <w:rFonts w:ascii="??_GB2312" w:eastAsia="Times New Roman"/>
          <w:sz w:val="32"/>
          <w:szCs w:val="30"/>
        </w:rPr>
        <w:t>2023年预算中此表无数据。</w:t>
      </w:r>
    </w:p>
    <w:p w14:paraId="1B653700">
      <w:pPr>
        <w:widowControl/>
        <w:numPr>
          <w:ilvl w:val="0"/>
          <w:numId w:val="4"/>
        </w:numPr>
        <w:spacing w:line="580" w:lineRule="exact"/>
        <w:ind w:firstLine="800" w:firstLineChars="250"/>
        <w:jc w:val="left"/>
        <w:rPr>
          <w:rFonts w:ascii="??_GB2312" w:eastAsia="Times New Roman"/>
          <w:b/>
          <w:sz w:val="32"/>
          <w:szCs w:val="30"/>
        </w:rPr>
      </w:pPr>
      <w:bookmarkStart w:id="2" w:name="_Toc1599"/>
      <w:bookmarkStart w:id="3" w:name="_Toc27563"/>
      <w:r>
        <w:rPr>
          <w:rFonts w:ascii="??_GB2312" w:eastAsia="Times New Roman"/>
          <w:b/>
          <w:sz w:val="32"/>
          <w:szCs w:val="30"/>
        </w:rPr>
        <w:t>预算绩效情况说明</w:t>
      </w:r>
      <w:bookmarkEnd w:id="2"/>
      <w:bookmarkEnd w:id="3"/>
    </w:p>
    <w:p w14:paraId="491809D7">
      <w:pPr>
        <w:ind w:firstLine="640" w:firstLineChars="200"/>
        <w:rPr>
          <w:rFonts w:ascii="??_GB2312" w:hAnsi="仿宋" w:eastAsia="Times New Roman"/>
          <w:sz w:val="32"/>
          <w:szCs w:val="32"/>
        </w:rPr>
      </w:pPr>
      <w:r>
        <w:rPr>
          <w:rFonts w:ascii="??_GB2312" w:hAnsi="仿宋" w:eastAsia="Times New Roman"/>
          <w:sz w:val="32"/>
          <w:szCs w:val="32"/>
        </w:rPr>
        <w:t>按照渝水区预算绩效管理工作的总体要求，本部门1个预算单位开展了2023年项目预算绩效目标编报工作，编报绩效目标的项目3个，涉及项目预算资金</w:t>
      </w:r>
      <w:r>
        <w:rPr>
          <w:rFonts w:ascii="??_GB2312" w:hAnsi="宋体" w:eastAsia="Times New Roman"/>
          <w:sz w:val="32"/>
          <w:szCs w:val="30"/>
        </w:rPr>
        <w:t>144</w:t>
      </w:r>
      <w:r>
        <w:rPr>
          <w:rFonts w:ascii="??_GB2312" w:hAnsi="仿宋" w:eastAsia="Times New Roman"/>
          <w:sz w:val="32"/>
          <w:szCs w:val="32"/>
        </w:rPr>
        <w:t>万元。</w:t>
      </w:r>
    </w:p>
    <w:p w14:paraId="4BA34FD1">
      <w:pPr>
        <w:widowControl/>
        <w:spacing w:line="580" w:lineRule="exact"/>
        <w:ind w:firstLine="643" w:firstLineChars="200"/>
        <w:jc w:val="left"/>
        <w:rPr>
          <w:rFonts w:ascii="楷体_GB2312" w:eastAsia="楷体_GB2312"/>
          <w:b/>
          <w:sz w:val="32"/>
          <w:szCs w:val="30"/>
        </w:rPr>
      </w:pPr>
      <w:r>
        <w:rPr>
          <w:rFonts w:hint="eastAsia" w:ascii="楷体_GB2312" w:hAnsi="Calibri" w:eastAsia="楷体_GB2312" w:cs="宋体"/>
          <w:b/>
          <w:kern w:val="0"/>
          <w:sz w:val="32"/>
          <w:szCs w:val="32"/>
        </w:rPr>
        <w:t>二、</w:t>
      </w:r>
      <w:r>
        <w:rPr>
          <w:rFonts w:ascii="楷体_GB2312" w:eastAsia="楷体_GB2312"/>
          <w:b/>
          <w:sz w:val="32"/>
          <w:szCs w:val="30"/>
        </w:rPr>
        <w:t>2023</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74A83C8E">
      <w:pPr>
        <w:widowControl/>
        <w:spacing w:line="580" w:lineRule="exact"/>
        <w:ind w:firstLine="640"/>
        <w:jc w:val="left"/>
        <w:rPr>
          <w:rFonts w:ascii="??_GB2312" w:eastAsia="Times New Roman"/>
          <w:sz w:val="32"/>
          <w:szCs w:val="30"/>
        </w:rPr>
      </w:pPr>
      <w:r>
        <w:rPr>
          <w:rFonts w:ascii="??_GB2312" w:eastAsia="Times New Roman"/>
          <w:sz w:val="32"/>
          <w:szCs w:val="30"/>
        </w:rPr>
        <w:t>2023年区财政</w:t>
      </w:r>
      <w:r>
        <w:rPr>
          <w:rFonts w:ascii="??_GB2312" w:hAnsi="宋体" w:eastAsia="Times New Roman"/>
          <w:sz w:val="32"/>
          <w:szCs w:val="30"/>
        </w:rPr>
        <w:t>局</w:t>
      </w:r>
      <w:r>
        <w:rPr>
          <w:rFonts w:ascii="??_GB2312" w:eastAsia="Times New Roman"/>
          <w:sz w:val="32"/>
          <w:szCs w:val="30"/>
        </w:rPr>
        <w:t xml:space="preserve"> “三公”经费年初预算安排10.05万元。其中：</w:t>
      </w:r>
    </w:p>
    <w:p w14:paraId="55BEA467">
      <w:pPr>
        <w:widowControl/>
        <w:spacing w:line="580" w:lineRule="exact"/>
        <w:ind w:firstLine="640"/>
        <w:jc w:val="left"/>
        <w:rPr>
          <w:rFonts w:ascii="??_GB2312" w:eastAsia="Times New Roman"/>
          <w:sz w:val="32"/>
          <w:szCs w:val="30"/>
        </w:rPr>
      </w:pPr>
      <w:r>
        <w:rPr>
          <w:rFonts w:ascii="??_GB2312" w:eastAsia="Times New Roman"/>
          <w:sz w:val="32"/>
          <w:szCs w:val="30"/>
        </w:rPr>
        <w:t>因公出国（境）费0万元，与上年持续平。主要原因是没有因公出国（境）。</w:t>
      </w:r>
    </w:p>
    <w:p w14:paraId="350649CE">
      <w:pPr>
        <w:widowControl/>
        <w:spacing w:line="580" w:lineRule="exact"/>
        <w:ind w:firstLine="640"/>
        <w:jc w:val="left"/>
        <w:rPr>
          <w:rFonts w:ascii="??_GB2312" w:hAnsi="宋体" w:eastAsia="Times New Roman"/>
          <w:sz w:val="32"/>
          <w:szCs w:val="30"/>
        </w:rPr>
      </w:pPr>
      <w:r>
        <w:rPr>
          <w:rFonts w:ascii="??_GB2312" w:eastAsia="Times New Roman"/>
          <w:sz w:val="32"/>
          <w:szCs w:val="30"/>
        </w:rPr>
        <w:t>公务接待费1.5万元，比上年减少1.5万</w:t>
      </w:r>
      <w:r>
        <w:rPr>
          <w:rFonts w:ascii="??_GB2312" w:hAnsi="宋体" w:eastAsia="Times New Roman"/>
          <w:sz w:val="32"/>
          <w:szCs w:val="30"/>
        </w:rPr>
        <w:t>，主要原因是接待减少。</w:t>
      </w:r>
    </w:p>
    <w:p w14:paraId="5452E329">
      <w:pPr>
        <w:widowControl/>
        <w:spacing w:line="580" w:lineRule="exact"/>
        <w:ind w:firstLine="640"/>
        <w:jc w:val="left"/>
        <w:rPr>
          <w:rFonts w:ascii="??_GB2312" w:hAnsi="宋体" w:eastAsia="Times New Roman"/>
          <w:sz w:val="32"/>
          <w:szCs w:val="30"/>
        </w:rPr>
      </w:pPr>
      <w:r>
        <w:rPr>
          <w:rFonts w:ascii="??_GB2312" w:eastAsia="Times New Roman"/>
          <w:sz w:val="32"/>
          <w:szCs w:val="30"/>
        </w:rPr>
        <w:t>公务用车购置及运行经费9万元，比上年增加6.35</w:t>
      </w:r>
      <w:r>
        <w:rPr>
          <w:rFonts w:ascii="??_GB2312" w:hAnsi="宋体" w:eastAsia="Times New Roman"/>
          <w:sz w:val="32"/>
          <w:szCs w:val="30"/>
        </w:rPr>
        <w:t>万元，主要原因是本单位增加专用车。</w:t>
      </w:r>
    </w:p>
    <w:p w14:paraId="5247267D">
      <w:pPr>
        <w:widowControl/>
        <w:spacing w:line="580" w:lineRule="exact"/>
        <w:ind w:firstLine="640" w:firstLineChars="200"/>
        <w:jc w:val="left"/>
        <w:rPr>
          <w:rFonts w:ascii="??_GB2312" w:eastAsia="Times New Roman"/>
          <w:b/>
          <w:sz w:val="32"/>
          <w:szCs w:val="30"/>
        </w:rPr>
      </w:pPr>
    </w:p>
    <w:p w14:paraId="6D3AEB74">
      <w:pPr>
        <w:widowControl/>
        <w:spacing w:line="580" w:lineRule="exact"/>
        <w:ind w:firstLine="640" w:firstLineChars="200"/>
        <w:jc w:val="left"/>
        <w:rPr>
          <w:rFonts w:ascii="??_GB2312" w:eastAsia="Times New Roman"/>
          <w:sz w:val="32"/>
          <w:szCs w:val="30"/>
        </w:rPr>
      </w:pPr>
      <w:r>
        <w:rPr>
          <w:rFonts w:ascii="??_GB2312" w:eastAsia="Times New Roman"/>
          <w:b/>
          <w:sz w:val="32"/>
          <w:szCs w:val="30"/>
        </w:rPr>
        <w:t>第三部分  区应急管理局2023年部门预算表</w:t>
      </w:r>
      <w:r>
        <w:rPr>
          <w:rFonts w:ascii="??_GB2312" w:eastAsia="Times New Roman"/>
          <w:sz w:val="32"/>
          <w:szCs w:val="30"/>
        </w:rPr>
        <w:t>（详见公开表格附表）</w:t>
      </w:r>
    </w:p>
    <w:p w14:paraId="465EA4B9">
      <w:pPr>
        <w:widowControl/>
        <w:spacing w:line="580" w:lineRule="exact"/>
        <w:ind w:firstLine="640"/>
        <w:jc w:val="left"/>
        <w:rPr>
          <w:rFonts w:ascii="??_GB2312" w:eastAsia="Times New Roman"/>
          <w:sz w:val="32"/>
          <w:szCs w:val="30"/>
        </w:rPr>
      </w:pPr>
      <w:r>
        <w:rPr>
          <w:rFonts w:ascii="??_GB2312" w:eastAsia="Times New Roman"/>
          <w:sz w:val="32"/>
          <w:szCs w:val="30"/>
        </w:rPr>
        <w:t>1、收支预算总表</w:t>
      </w:r>
    </w:p>
    <w:p w14:paraId="2FF7B920">
      <w:pPr>
        <w:widowControl/>
        <w:spacing w:line="580" w:lineRule="exact"/>
        <w:ind w:firstLine="640"/>
        <w:jc w:val="left"/>
        <w:rPr>
          <w:rFonts w:ascii="??_GB2312" w:eastAsia="Times New Roman"/>
          <w:sz w:val="32"/>
          <w:szCs w:val="30"/>
        </w:rPr>
      </w:pPr>
      <w:r>
        <w:rPr>
          <w:rFonts w:ascii="??_GB2312" w:eastAsia="Times New Roman"/>
          <w:sz w:val="32"/>
          <w:szCs w:val="30"/>
        </w:rPr>
        <w:t>2、部门收入总表</w:t>
      </w:r>
    </w:p>
    <w:p w14:paraId="19D695D4">
      <w:pPr>
        <w:widowControl/>
        <w:spacing w:line="580" w:lineRule="exact"/>
        <w:ind w:firstLine="640"/>
        <w:jc w:val="left"/>
        <w:rPr>
          <w:rFonts w:ascii="??_GB2312" w:eastAsia="Times New Roman"/>
          <w:sz w:val="32"/>
          <w:szCs w:val="30"/>
        </w:rPr>
      </w:pPr>
      <w:r>
        <w:rPr>
          <w:rFonts w:ascii="??_GB2312" w:eastAsia="Times New Roman"/>
          <w:sz w:val="32"/>
          <w:szCs w:val="30"/>
        </w:rPr>
        <w:t>3、部门支出总表</w:t>
      </w:r>
    </w:p>
    <w:p w14:paraId="68ED0FBF">
      <w:pPr>
        <w:widowControl/>
        <w:spacing w:line="580" w:lineRule="exact"/>
        <w:ind w:firstLine="640"/>
        <w:jc w:val="left"/>
        <w:rPr>
          <w:rFonts w:ascii="??_GB2312" w:eastAsia="Times New Roman"/>
          <w:sz w:val="32"/>
          <w:szCs w:val="30"/>
        </w:rPr>
      </w:pPr>
      <w:r>
        <w:rPr>
          <w:rFonts w:ascii="??_GB2312" w:eastAsia="Times New Roman"/>
          <w:sz w:val="32"/>
          <w:szCs w:val="30"/>
        </w:rPr>
        <w:t>4、财政拨款收支总表</w:t>
      </w:r>
    </w:p>
    <w:p w14:paraId="34FF36B5">
      <w:pPr>
        <w:widowControl/>
        <w:spacing w:line="580" w:lineRule="exact"/>
        <w:ind w:firstLine="640"/>
        <w:jc w:val="left"/>
        <w:rPr>
          <w:rFonts w:ascii="??_GB2312" w:eastAsia="Times New Roman"/>
          <w:sz w:val="32"/>
          <w:szCs w:val="30"/>
        </w:rPr>
      </w:pPr>
      <w:r>
        <w:rPr>
          <w:rFonts w:ascii="??_GB2312" w:eastAsia="Times New Roman"/>
          <w:sz w:val="32"/>
          <w:szCs w:val="30"/>
        </w:rPr>
        <w:t>5、一般公共预算支出表</w:t>
      </w:r>
    </w:p>
    <w:p w14:paraId="44479B55">
      <w:pPr>
        <w:widowControl/>
        <w:spacing w:line="580" w:lineRule="exact"/>
        <w:ind w:firstLine="640"/>
        <w:jc w:val="left"/>
        <w:rPr>
          <w:rFonts w:ascii="??_GB2312" w:eastAsia="Times New Roman"/>
          <w:sz w:val="32"/>
          <w:szCs w:val="30"/>
        </w:rPr>
      </w:pPr>
      <w:r>
        <w:rPr>
          <w:rFonts w:ascii="??_GB2312" w:eastAsia="Times New Roman"/>
          <w:sz w:val="32"/>
          <w:szCs w:val="30"/>
        </w:rPr>
        <w:t>6、一般公共预算基本支出表</w:t>
      </w:r>
    </w:p>
    <w:p w14:paraId="070063C9">
      <w:pPr>
        <w:widowControl/>
        <w:spacing w:line="580" w:lineRule="exact"/>
        <w:ind w:firstLine="640"/>
        <w:jc w:val="left"/>
        <w:rPr>
          <w:rFonts w:ascii="??_GB2312" w:eastAsia="Times New Roman"/>
          <w:sz w:val="32"/>
          <w:szCs w:val="30"/>
        </w:rPr>
      </w:pPr>
      <w:r>
        <w:rPr>
          <w:rFonts w:ascii="??_GB2312" w:eastAsia="Times New Roman"/>
          <w:sz w:val="32"/>
          <w:szCs w:val="30"/>
        </w:rPr>
        <w:t>7、一般公共预算“三公”经费支出表</w:t>
      </w:r>
    </w:p>
    <w:p w14:paraId="41B183BD">
      <w:pPr>
        <w:widowControl/>
        <w:spacing w:line="580" w:lineRule="exact"/>
        <w:ind w:firstLine="640"/>
        <w:jc w:val="left"/>
        <w:rPr>
          <w:rFonts w:ascii="??_GB2312" w:eastAsia="Times New Roman"/>
          <w:sz w:val="32"/>
          <w:szCs w:val="30"/>
        </w:rPr>
      </w:pPr>
      <w:r>
        <w:rPr>
          <w:rFonts w:ascii="??_GB2312" w:eastAsia="Times New Roman"/>
          <w:sz w:val="32"/>
          <w:szCs w:val="30"/>
        </w:rPr>
        <w:t>8、政府性基金预算支出表。</w:t>
      </w:r>
    </w:p>
    <w:p w14:paraId="7870BC65">
      <w:pPr>
        <w:pStyle w:val="11"/>
        <w:tabs>
          <w:tab w:val="left" w:pos="6546"/>
        </w:tabs>
        <w:spacing w:line="600" w:lineRule="atLeast"/>
        <w:ind w:firstLine="640" w:firstLineChars="20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9</w:t>
      </w:r>
      <w:r>
        <w:rPr>
          <w:rFonts w:hint="eastAsia" w:ascii="Adobe 仿宋 Std R" w:hAnsi="Adobe 仿宋 Std R" w:eastAsia="Adobe 仿宋 Std R" w:cs="黑体"/>
          <w:kern w:val="2"/>
          <w:sz w:val="32"/>
          <w:szCs w:val="30"/>
        </w:rPr>
        <w:t>、</w:t>
      </w:r>
      <w:r>
        <w:rPr>
          <w:rFonts w:ascii="??_GB2312" w:eastAsia="Times New Roman"/>
          <w:kern w:val="2"/>
          <w:sz w:val="32"/>
          <w:szCs w:val="30"/>
        </w:rPr>
        <w:t>《部门整体支出绩效目标表》</w:t>
      </w:r>
      <w:r>
        <w:rPr>
          <w:rFonts w:ascii="??_GB2312" w:eastAsia="Times New Roman"/>
          <w:kern w:val="2"/>
          <w:sz w:val="32"/>
          <w:szCs w:val="30"/>
        </w:rPr>
        <w:tab/>
      </w:r>
    </w:p>
    <w:p w14:paraId="376F4AAB">
      <w:pPr>
        <w:widowControl/>
        <w:spacing w:line="580" w:lineRule="exact"/>
        <w:ind w:firstLine="640"/>
        <w:jc w:val="left"/>
        <w:rPr>
          <w:rFonts w:ascii="??_GB2312" w:eastAsia="Times New Roman"/>
          <w:sz w:val="32"/>
          <w:szCs w:val="30"/>
        </w:rPr>
      </w:pPr>
      <w:r>
        <w:rPr>
          <w:rFonts w:ascii="??_GB2312" w:eastAsia="Times New Roman"/>
          <w:sz w:val="32"/>
          <w:szCs w:val="30"/>
        </w:rPr>
        <w:t>10、《项目绩效目标表》</w:t>
      </w:r>
    </w:p>
    <w:p w14:paraId="2B2B509E">
      <w:pPr>
        <w:widowControl/>
        <w:spacing w:line="580" w:lineRule="exact"/>
        <w:ind w:firstLine="640"/>
        <w:jc w:val="left"/>
        <w:rPr>
          <w:rFonts w:ascii="??_GB2312" w:eastAsia="Times New Roman"/>
          <w:b/>
          <w:sz w:val="32"/>
          <w:szCs w:val="30"/>
        </w:rPr>
      </w:pPr>
    </w:p>
    <w:p w14:paraId="3838F293">
      <w:pPr>
        <w:widowControl/>
        <w:spacing w:line="580" w:lineRule="exact"/>
        <w:ind w:firstLine="640"/>
        <w:jc w:val="left"/>
        <w:rPr>
          <w:rFonts w:ascii="??_GB2312" w:eastAsia="Times New Roman"/>
          <w:b/>
          <w:sz w:val="32"/>
          <w:szCs w:val="30"/>
        </w:rPr>
      </w:pPr>
    </w:p>
    <w:p w14:paraId="5FD16DDE">
      <w:pPr>
        <w:widowControl/>
        <w:spacing w:line="580" w:lineRule="exact"/>
        <w:ind w:firstLine="640"/>
        <w:jc w:val="left"/>
        <w:rPr>
          <w:rFonts w:ascii="??_GB2312" w:eastAsia="Times New Roman"/>
          <w:b/>
          <w:sz w:val="32"/>
          <w:szCs w:val="30"/>
        </w:rPr>
      </w:pPr>
      <w:r>
        <w:rPr>
          <w:rFonts w:ascii="??_GB2312" w:eastAsia="Times New Roman"/>
          <w:b/>
          <w:sz w:val="32"/>
          <w:szCs w:val="30"/>
        </w:rPr>
        <w:t>第四部分   名词解释</w:t>
      </w:r>
    </w:p>
    <w:p w14:paraId="0A8554D0">
      <w:pPr>
        <w:widowControl/>
        <w:spacing w:line="580" w:lineRule="exact"/>
        <w:ind w:firstLine="640"/>
        <w:jc w:val="left"/>
        <w:rPr>
          <w:rFonts w:ascii="??_GB2312" w:eastAsia="Times New Roman"/>
          <w:b/>
          <w:bCs/>
          <w:sz w:val="32"/>
          <w:szCs w:val="30"/>
        </w:rPr>
      </w:pPr>
      <w:r>
        <w:rPr>
          <w:rFonts w:ascii="??_GB2312" w:eastAsia="Times New Roman"/>
          <w:b/>
          <w:bCs/>
          <w:sz w:val="32"/>
          <w:szCs w:val="30"/>
        </w:rPr>
        <w:t>对本单位部门预算中涉及的收入科目及支出功能分类科目（明细到项级），结合部门实际，参照《2023年政府收支分类科目》的规范说明进行解释。</w:t>
      </w:r>
    </w:p>
    <w:p w14:paraId="44DA4F2E">
      <w:pPr>
        <w:widowControl/>
        <w:spacing w:line="580" w:lineRule="exact"/>
        <w:ind w:firstLine="640"/>
        <w:jc w:val="left"/>
        <w:rPr>
          <w:rFonts w:ascii="??_GB2312" w:eastAsia="Times New Roman"/>
          <w:sz w:val="32"/>
          <w:szCs w:val="30"/>
        </w:rPr>
      </w:pPr>
      <w:r>
        <w:rPr>
          <w:rFonts w:ascii="??_GB2312" w:eastAsia="Times New Roman"/>
          <w:sz w:val="32"/>
          <w:szCs w:val="30"/>
        </w:rPr>
        <w:t>样式：</w:t>
      </w:r>
    </w:p>
    <w:p w14:paraId="4638288D">
      <w:pPr>
        <w:widowControl/>
        <w:spacing w:line="580" w:lineRule="exact"/>
        <w:ind w:firstLine="640"/>
        <w:jc w:val="left"/>
        <w:rPr>
          <w:rFonts w:ascii="??_GB2312" w:eastAsia="Times New Roman"/>
          <w:sz w:val="32"/>
          <w:szCs w:val="30"/>
        </w:rPr>
      </w:pPr>
      <w:r>
        <w:rPr>
          <w:rFonts w:ascii="??_GB2312" w:eastAsia="Times New Roman"/>
          <w:sz w:val="32"/>
          <w:szCs w:val="30"/>
        </w:rPr>
        <w:t>一、收入科目</w:t>
      </w:r>
    </w:p>
    <w:p w14:paraId="665132EC">
      <w:pPr>
        <w:widowControl/>
        <w:spacing w:line="580" w:lineRule="exact"/>
        <w:ind w:firstLine="640"/>
        <w:jc w:val="left"/>
        <w:rPr>
          <w:rFonts w:ascii="??_GB2312" w:eastAsia="Times New Roman"/>
          <w:sz w:val="32"/>
          <w:szCs w:val="30"/>
        </w:rPr>
      </w:pPr>
      <w:r>
        <w:rPr>
          <w:rFonts w:ascii="??_GB2312" w:eastAsia="Times New Roman"/>
          <w:sz w:val="32"/>
          <w:szCs w:val="30"/>
        </w:rPr>
        <w:t>（一）财政拨款：指省级财政当年拨付的资金。</w:t>
      </w:r>
    </w:p>
    <w:p w14:paraId="2A2414C0">
      <w:pPr>
        <w:widowControl/>
        <w:spacing w:line="580" w:lineRule="exact"/>
        <w:ind w:firstLine="640"/>
        <w:jc w:val="left"/>
        <w:rPr>
          <w:rFonts w:ascii="??_GB2312" w:eastAsia="Times New Roman"/>
          <w:sz w:val="32"/>
          <w:szCs w:val="30"/>
        </w:rPr>
      </w:pPr>
      <w:r>
        <w:rPr>
          <w:rFonts w:ascii="??_GB2312" w:eastAsia="Times New Roman"/>
          <w:sz w:val="32"/>
          <w:szCs w:val="30"/>
        </w:rPr>
        <w:t>（二）事业收入：指事业单位开展专业业务活动及辅助</w:t>
      </w:r>
    </w:p>
    <w:p w14:paraId="57C6F045">
      <w:pPr>
        <w:widowControl/>
        <w:spacing w:line="580" w:lineRule="exact"/>
        <w:ind w:firstLine="640"/>
        <w:jc w:val="left"/>
        <w:rPr>
          <w:rFonts w:ascii="??_GB2312" w:eastAsia="Times New Roman"/>
          <w:sz w:val="32"/>
          <w:szCs w:val="30"/>
        </w:rPr>
      </w:pPr>
      <w:r>
        <w:rPr>
          <w:rFonts w:ascii="??_GB2312" w:eastAsia="Times New Roman"/>
          <w:sz w:val="32"/>
          <w:szCs w:val="30"/>
        </w:rPr>
        <w:t>活动取得的收入。</w:t>
      </w:r>
    </w:p>
    <w:p w14:paraId="111DB211">
      <w:pPr>
        <w:widowControl/>
        <w:spacing w:line="580" w:lineRule="exact"/>
        <w:ind w:firstLine="640"/>
        <w:jc w:val="left"/>
        <w:rPr>
          <w:rFonts w:ascii="??_GB2312" w:eastAsia="Times New Roman"/>
          <w:sz w:val="32"/>
          <w:szCs w:val="30"/>
        </w:rPr>
      </w:pPr>
      <w:r>
        <w:rPr>
          <w:rFonts w:ascii="??_GB2312" w:eastAsia="Times New Roman"/>
          <w:sz w:val="32"/>
          <w:szCs w:val="30"/>
        </w:rPr>
        <w:t>（三）事业单位经营收入：指事业单位在专业业务活动</w:t>
      </w:r>
    </w:p>
    <w:p w14:paraId="78445302">
      <w:pPr>
        <w:widowControl/>
        <w:spacing w:line="580" w:lineRule="exact"/>
        <w:ind w:firstLine="640"/>
        <w:jc w:val="left"/>
        <w:rPr>
          <w:rFonts w:ascii="??_GB2312" w:eastAsia="Times New Roman"/>
          <w:sz w:val="32"/>
          <w:szCs w:val="30"/>
        </w:rPr>
      </w:pPr>
      <w:r>
        <w:rPr>
          <w:rFonts w:ascii="??_GB2312" w:eastAsia="Times New Roman"/>
          <w:sz w:val="32"/>
          <w:szCs w:val="30"/>
        </w:rPr>
        <w:t>及辅助活动之外开展非独立核算经营活动取得的收入。</w:t>
      </w:r>
    </w:p>
    <w:p w14:paraId="15FCD452">
      <w:pPr>
        <w:widowControl/>
        <w:spacing w:line="580" w:lineRule="exact"/>
        <w:ind w:firstLine="640"/>
        <w:jc w:val="left"/>
        <w:rPr>
          <w:rFonts w:ascii="??_GB2312" w:eastAsia="Times New Roman"/>
          <w:sz w:val="32"/>
          <w:szCs w:val="30"/>
        </w:rPr>
      </w:pPr>
      <w:r>
        <w:rPr>
          <w:rFonts w:ascii="??_GB2312" w:eastAsia="Times New Roman"/>
          <w:sz w:val="32"/>
          <w:szCs w:val="30"/>
        </w:rPr>
        <w:t>（四）其他收入：指除财政拨款、事业收入、事业单位</w:t>
      </w:r>
    </w:p>
    <w:p w14:paraId="034CFC4F">
      <w:pPr>
        <w:widowControl/>
        <w:spacing w:line="580" w:lineRule="exact"/>
        <w:ind w:firstLine="640"/>
        <w:jc w:val="left"/>
        <w:rPr>
          <w:rFonts w:ascii="??_GB2312" w:eastAsia="Times New Roman"/>
          <w:sz w:val="32"/>
          <w:szCs w:val="30"/>
        </w:rPr>
      </w:pPr>
      <w:r>
        <w:rPr>
          <w:rFonts w:ascii="??_GB2312" w:eastAsia="Times New Roman"/>
          <w:sz w:val="32"/>
          <w:szCs w:val="30"/>
        </w:rPr>
        <w:t>经营收入等以外的各项收入。</w:t>
      </w:r>
    </w:p>
    <w:p w14:paraId="5363EF11">
      <w:pPr>
        <w:widowControl/>
        <w:spacing w:line="580" w:lineRule="exact"/>
        <w:ind w:firstLine="640"/>
        <w:jc w:val="left"/>
        <w:rPr>
          <w:rFonts w:ascii="??_GB2312" w:eastAsia="Times New Roman"/>
          <w:sz w:val="32"/>
          <w:szCs w:val="30"/>
        </w:rPr>
      </w:pPr>
      <w:r>
        <w:rPr>
          <w:rFonts w:ascii="??_GB2312" w:eastAsia="Times New Roman"/>
          <w:sz w:val="32"/>
          <w:szCs w:val="30"/>
        </w:rPr>
        <w:t>（五）附属单位上缴收入：反映事业单位附属的独立核</w:t>
      </w:r>
    </w:p>
    <w:p w14:paraId="68A6653C">
      <w:pPr>
        <w:widowControl/>
        <w:spacing w:line="580" w:lineRule="exact"/>
        <w:ind w:firstLine="640"/>
        <w:jc w:val="left"/>
        <w:rPr>
          <w:rFonts w:ascii="??_GB2312" w:eastAsia="Times New Roman"/>
          <w:sz w:val="32"/>
          <w:szCs w:val="30"/>
        </w:rPr>
      </w:pPr>
      <w:r>
        <w:rPr>
          <w:rFonts w:ascii="??_GB2312" w:eastAsia="Times New Roman"/>
          <w:sz w:val="32"/>
          <w:szCs w:val="30"/>
        </w:rPr>
        <w:t>算单位按规定标准或比例缴纳的各项收入。包括附属的事业</w:t>
      </w:r>
    </w:p>
    <w:p w14:paraId="64244EAE">
      <w:pPr>
        <w:widowControl/>
        <w:spacing w:line="580" w:lineRule="exact"/>
        <w:ind w:firstLine="640"/>
        <w:jc w:val="left"/>
        <w:rPr>
          <w:rFonts w:ascii="??_GB2312" w:eastAsia="Times New Roman"/>
          <w:sz w:val="32"/>
          <w:szCs w:val="30"/>
        </w:rPr>
      </w:pPr>
      <w:r>
        <w:rPr>
          <w:rFonts w:ascii="??_GB2312" w:eastAsia="Times New Roman"/>
          <w:sz w:val="32"/>
          <w:szCs w:val="30"/>
        </w:rPr>
        <w:t>单位上缴的收入和附属的企业上缴的利润等。</w:t>
      </w:r>
    </w:p>
    <w:p w14:paraId="3692F974">
      <w:pPr>
        <w:widowControl/>
        <w:spacing w:line="580" w:lineRule="exact"/>
        <w:ind w:firstLine="640"/>
        <w:jc w:val="left"/>
        <w:rPr>
          <w:rFonts w:ascii="??_GB2312" w:eastAsia="Times New Roman"/>
          <w:sz w:val="32"/>
          <w:szCs w:val="30"/>
        </w:rPr>
      </w:pPr>
      <w:r>
        <w:rPr>
          <w:rFonts w:ascii="??_GB2312" w:eastAsia="Times New Roman"/>
          <w:sz w:val="32"/>
          <w:szCs w:val="30"/>
        </w:rPr>
        <w:t>（六）上级补助收入：反映事业单位从主管部门和上级</w:t>
      </w:r>
    </w:p>
    <w:p w14:paraId="2A17F5F9">
      <w:pPr>
        <w:widowControl/>
        <w:spacing w:line="580" w:lineRule="exact"/>
        <w:ind w:firstLine="640"/>
        <w:jc w:val="left"/>
        <w:rPr>
          <w:rFonts w:ascii="??_GB2312" w:eastAsia="Times New Roman"/>
          <w:sz w:val="32"/>
          <w:szCs w:val="30"/>
        </w:rPr>
      </w:pPr>
      <w:r>
        <w:rPr>
          <w:rFonts w:ascii="??_GB2312" w:eastAsia="Times New Roman"/>
          <w:sz w:val="32"/>
          <w:szCs w:val="30"/>
        </w:rPr>
        <w:t>单位取得的非财政补助收入。</w:t>
      </w:r>
    </w:p>
    <w:p w14:paraId="5CA85F74">
      <w:pPr>
        <w:widowControl/>
        <w:spacing w:line="580" w:lineRule="exact"/>
        <w:ind w:firstLine="640"/>
        <w:jc w:val="left"/>
        <w:rPr>
          <w:rFonts w:ascii="??_GB2312" w:eastAsia="Times New Roman"/>
          <w:sz w:val="32"/>
          <w:szCs w:val="30"/>
        </w:rPr>
      </w:pPr>
      <w:r>
        <w:rPr>
          <w:rFonts w:ascii="??_GB2312" w:eastAsia="Times New Roman"/>
          <w:sz w:val="32"/>
          <w:szCs w:val="30"/>
        </w:rPr>
        <w:t>（七）用事业基金弥补收支差额：填列事业单位用事业</w:t>
      </w:r>
    </w:p>
    <w:p w14:paraId="2CAFEF17">
      <w:pPr>
        <w:widowControl/>
        <w:spacing w:line="580" w:lineRule="exact"/>
        <w:ind w:firstLine="640"/>
        <w:jc w:val="left"/>
        <w:rPr>
          <w:rFonts w:ascii="??_GB2312" w:eastAsia="Times New Roman"/>
          <w:sz w:val="32"/>
          <w:szCs w:val="30"/>
        </w:rPr>
      </w:pPr>
      <w:r>
        <w:rPr>
          <w:rFonts w:ascii="??_GB2312" w:eastAsia="Times New Roman"/>
          <w:sz w:val="32"/>
          <w:szCs w:val="30"/>
        </w:rPr>
        <w:t>基金弥补 2023 年收支差额的数额。</w:t>
      </w:r>
    </w:p>
    <w:p w14:paraId="5912B612">
      <w:pPr>
        <w:widowControl/>
        <w:spacing w:line="580" w:lineRule="exact"/>
        <w:ind w:firstLine="640"/>
        <w:jc w:val="left"/>
        <w:rPr>
          <w:rFonts w:ascii="??_GB2312" w:eastAsia="Times New Roman"/>
          <w:sz w:val="32"/>
          <w:szCs w:val="30"/>
        </w:rPr>
      </w:pPr>
      <w:r>
        <w:rPr>
          <w:rFonts w:ascii="??_GB2312" w:eastAsia="Times New Roman"/>
          <w:sz w:val="32"/>
          <w:szCs w:val="30"/>
        </w:rPr>
        <w:t>（八）上年结转和结余：填列 2022 年全部结转和结余</w:t>
      </w:r>
    </w:p>
    <w:p w14:paraId="7C9206CF">
      <w:pPr>
        <w:widowControl/>
        <w:spacing w:line="580" w:lineRule="exact"/>
        <w:ind w:firstLine="640"/>
        <w:jc w:val="left"/>
        <w:rPr>
          <w:rFonts w:ascii="??_GB2312" w:eastAsia="Times New Roman"/>
          <w:sz w:val="32"/>
          <w:szCs w:val="30"/>
        </w:rPr>
      </w:pPr>
      <w:r>
        <w:rPr>
          <w:rFonts w:ascii="??_GB2312" w:eastAsia="Times New Roman"/>
          <w:sz w:val="32"/>
          <w:szCs w:val="30"/>
        </w:rPr>
        <w:t>的资金数，包括当年结转结余资金和历年滚存结转结余资金。</w:t>
      </w:r>
    </w:p>
    <w:p w14:paraId="35FF52F8">
      <w:pPr>
        <w:widowControl/>
        <w:spacing w:line="580" w:lineRule="exact"/>
        <w:ind w:firstLine="640"/>
        <w:jc w:val="left"/>
        <w:rPr>
          <w:rFonts w:ascii="??_GB2312" w:eastAsia="Times New Roman"/>
          <w:sz w:val="32"/>
          <w:szCs w:val="30"/>
        </w:rPr>
      </w:pPr>
      <w:r>
        <w:rPr>
          <w:rFonts w:ascii="??_GB2312" w:eastAsia="Times New Roman"/>
          <w:sz w:val="32"/>
          <w:szCs w:val="30"/>
        </w:rPr>
        <w:t>二、支出科目</w:t>
      </w:r>
      <w:r>
        <w:rPr>
          <w:rFonts w:ascii="??_GB2312" w:eastAsia="Times New Roman"/>
          <w:b/>
          <w:bCs/>
          <w:sz w:val="32"/>
          <w:szCs w:val="30"/>
        </w:rPr>
        <w:t>（按照单位2023年部门预算所使用的科目代码进行解释说明）</w:t>
      </w:r>
    </w:p>
    <w:p w14:paraId="6C7B7490">
      <w:pPr>
        <w:widowControl/>
        <w:spacing w:line="580" w:lineRule="exact"/>
        <w:ind w:firstLine="640"/>
        <w:jc w:val="left"/>
        <w:rPr>
          <w:rFonts w:ascii="??_GB2312" w:eastAsia="Times New Roman"/>
          <w:sz w:val="32"/>
          <w:szCs w:val="30"/>
        </w:rPr>
      </w:pPr>
      <w:r>
        <w:rPr>
          <w:rFonts w:ascii="??_GB2312" w:eastAsia="Times New Roman"/>
          <w:sz w:val="32"/>
          <w:szCs w:val="30"/>
        </w:rPr>
        <w:t>一般公共服务支出（类）党委办公厅（室）及相关机构事务（款）一般行政管理事务（项）：指反映行政单位（包括实行公务员管理的事业单位）未单独设置顶级科目的其他项目支出。</w:t>
      </w:r>
    </w:p>
    <w:p w14:paraId="44219525">
      <w:pPr>
        <w:widowControl/>
        <w:spacing w:line="580" w:lineRule="exact"/>
        <w:ind w:firstLine="640"/>
        <w:jc w:val="left"/>
        <w:rPr>
          <w:rFonts w:ascii="??_GB2312" w:eastAsia="Times New Roman"/>
          <w:sz w:val="32"/>
          <w:szCs w:val="30"/>
        </w:rPr>
      </w:pPr>
      <w:r>
        <w:rPr>
          <w:rFonts w:ascii="??_GB2312" w:eastAsia="Times New Roman"/>
          <w:sz w:val="32"/>
          <w:szCs w:val="30"/>
        </w:rPr>
        <w:t>一般公共服务支出（类）党委办公厅（室）及相关机构事务（款）机关服务（项）：指反映为行政单位（包括实行公务员管理的事业单位）提供后勤服务的各类后勤服务中心、医务室等附属事业单位的支出。</w:t>
      </w:r>
    </w:p>
    <w:p w14:paraId="2E04F989">
      <w:pPr>
        <w:widowControl/>
        <w:spacing w:line="580" w:lineRule="exact"/>
        <w:ind w:firstLine="640"/>
        <w:jc w:val="left"/>
        <w:rPr>
          <w:rFonts w:ascii="??_GB2312" w:eastAsia="Times New Roman"/>
          <w:sz w:val="32"/>
          <w:szCs w:val="30"/>
        </w:rPr>
      </w:pPr>
      <w:r>
        <w:rPr>
          <w:rFonts w:ascii="??_GB2312" w:eastAsia="Times New Roman"/>
          <w:sz w:val="32"/>
          <w:szCs w:val="30"/>
        </w:rPr>
        <w:t>一般公共服务支出（类）党委办公厅（室）及相关机构事务（款）事业运行（项）：指反映事业单位的基本支出，不包括行政单位（包括实行公务员管理的事业单位）后勤服务中心、医务室等附属事业单位。</w:t>
      </w:r>
    </w:p>
    <w:p w14:paraId="0F8911E3">
      <w:pPr>
        <w:widowControl/>
        <w:spacing w:line="580" w:lineRule="exact"/>
        <w:ind w:firstLine="640"/>
        <w:jc w:val="left"/>
        <w:rPr>
          <w:rFonts w:ascii="??_GB2312" w:eastAsia="Times New Roman"/>
          <w:sz w:val="32"/>
          <w:szCs w:val="30"/>
        </w:rPr>
      </w:pPr>
      <w:r>
        <w:rPr>
          <w:rFonts w:ascii="??_GB2312" w:eastAsia="Times New Roman"/>
          <w:sz w:val="32"/>
          <w:szCs w:val="30"/>
        </w:rPr>
        <w:t>一般公共服务支出（类）党委办公厅（室）及相关机构事务（款）其他党委办公厅（室）及相关机构事务（项）：指反映除上述项目以外其他用于党委办公厅（室）及相关机构事务支出。</w:t>
      </w:r>
    </w:p>
    <w:p w14:paraId="22D78369">
      <w:pPr>
        <w:widowControl/>
        <w:spacing w:line="580" w:lineRule="exact"/>
        <w:ind w:firstLine="640"/>
        <w:jc w:val="left"/>
        <w:rPr>
          <w:rFonts w:ascii="??_GB2312" w:eastAsia="Times New Roman"/>
          <w:sz w:val="32"/>
          <w:szCs w:val="30"/>
        </w:rPr>
      </w:pPr>
      <w:r>
        <w:rPr>
          <w:rFonts w:ascii="??_GB2312" w:eastAsia="Times New Roman"/>
          <w:sz w:val="32"/>
          <w:szCs w:val="30"/>
        </w:rPr>
        <w:t>教育支出（类）普通教育（款）学前教育（项）：指反映各部门举办的学前教育支出。</w:t>
      </w:r>
    </w:p>
    <w:p w14:paraId="0200205E">
      <w:pPr>
        <w:widowControl/>
        <w:spacing w:line="580" w:lineRule="exact"/>
        <w:ind w:firstLine="640"/>
        <w:jc w:val="left"/>
        <w:rPr>
          <w:rFonts w:ascii="??_GB2312" w:eastAsia="Times New Roman"/>
          <w:sz w:val="32"/>
          <w:szCs w:val="30"/>
        </w:rPr>
      </w:pPr>
      <w:r>
        <w:rPr>
          <w:rFonts w:ascii="??_GB2312" w:eastAsia="Times New Roman"/>
          <w:sz w:val="32"/>
          <w:szCs w:val="30"/>
        </w:rPr>
        <w:t>社会保障和就业支出（类）行政事业单位离退休（款）未归口管理的行政单位离退休支出（项）：指反映未实行归口管理的行政单位（包括实行公务员管理的事业单位）开支的离退休支出。</w:t>
      </w:r>
    </w:p>
    <w:p w14:paraId="68DE7002">
      <w:pPr>
        <w:widowControl/>
        <w:spacing w:line="580" w:lineRule="exact"/>
        <w:ind w:firstLine="640"/>
        <w:jc w:val="left"/>
        <w:rPr>
          <w:rFonts w:ascii="??_GB2312" w:eastAsia="Times New Roman"/>
          <w:sz w:val="32"/>
          <w:szCs w:val="30"/>
        </w:rPr>
      </w:pPr>
      <w:r>
        <w:rPr>
          <w:rFonts w:ascii="??_GB2312" w:eastAsia="Times New Roman"/>
          <w:sz w:val="32"/>
          <w:szCs w:val="30"/>
        </w:rPr>
        <w:t>医疗卫生与计划生育支出（类）医疗保障（款）行政单位医疗（项）：指反映财政部门集中安排的行政单位基本医疗保险缴费的经费，未参加医疗保险的行政单位的公费医疗缴费，按国家规定享受离休人员、红军老战士待遇人员的医疗经费。</w:t>
      </w:r>
    </w:p>
    <w:p w14:paraId="11297054">
      <w:pPr>
        <w:widowControl/>
        <w:spacing w:line="580" w:lineRule="exact"/>
        <w:ind w:firstLine="640"/>
        <w:jc w:val="left"/>
        <w:rPr>
          <w:rFonts w:ascii="??_GB2312" w:eastAsia="Times New Roman"/>
          <w:sz w:val="32"/>
          <w:szCs w:val="30"/>
        </w:rPr>
      </w:pPr>
      <w:r>
        <w:rPr>
          <w:rFonts w:ascii="??_GB2312" w:eastAsia="Times New Roman"/>
          <w:sz w:val="32"/>
          <w:szCs w:val="30"/>
        </w:rPr>
        <w:t>住房保障支出（类）住房改革支出（款）购房补贴（项）：指反映按房改政策规定，行政事业单位向符合条件职工（含离退休人员）、军队（含武警）向转役复原离退休人员发放的用于购买住房的补贴。</w:t>
      </w:r>
    </w:p>
    <w:p w14:paraId="0D7358DA"/>
    <w:p w14:paraId="283EBE8B">
      <w:pPr>
        <w:rPr>
          <w:rFonts w:ascii="楷体_GB2312" w:eastAsia="楷体_GB2312"/>
          <w:b/>
          <w:sz w:val="32"/>
          <w:szCs w:val="30"/>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78160">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D57D0">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781A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11521">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A2B43">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33173">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A1519F"/>
    <w:multiLevelType w:val="singleLevel"/>
    <w:tmpl w:val="C7A1519F"/>
    <w:lvl w:ilvl="0" w:tentative="0">
      <w:start w:val="2"/>
      <w:numFmt w:val="chineseCounting"/>
      <w:suff w:val="space"/>
      <w:lvlText w:val="第%1部分"/>
      <w:lvlJc w:val="left"/>
      <w:rPr>
        <w:rFonts w:hint="eastAsia" w:cs="Times New Roman"/>
      </w:rPr>
    </w:lvl>
  </w:abstractNum>
  <w:abstractNum w:abstractNumId="1">
    <w:nsid w:val="D4083A5C"/>
    <w:multiLevelType w:val="singleLevel"/>
    <w:tmpl w:val="D4083A5C"/>
    <w:lvl w:ilvl="0" w:tentative="0">
      <w:start w:val="1"/>
      <w:numFmt w:val="chineseCounting"/>
      <w:suff w:val="nothing"/>
      <w:lvlText w:val="（%1）"/>
      <w:lvlJc w:val="left"/>
      <w:rPr>
        <w:rFonts w:hint="eastAsia" w:cs="Times New Roman"/>
      </w:rPr>
    </w:lvl>
  </w:abstractNum>
  <w:abstractNum w:abstractNumId="2">
    <w:nsid w:val="1176FA64"/>
    <w:multiLevelType w:val="singleLevel"/>
    <w:tmpl w:val="1176FA64"/>
    <w:lvl w:ilvl="0" w:tentative="0">
      <w:start w:val="8"/>
      <w:numFmt w:val="chineseCounting"/>
      <w:suff w:val="nothing"/>
      <w:lvlText w:val="（%1）"/>
      <w:lvlJc w:val="left"/>
      <w:rPr>
        <w:rFonts w:hint="eastAsia" w:cs="Times New Roman"/>
      </w:rPr>
    </w:lvl>
  </w:abstractNum>
  <w:abstractNum w:abstractNumId="3">
    <w:nsid w:val="4C65A84F"/>
    <w:multiLevelType w:val="singleLevel"/>
    <w:tmpl w:val="4C65A84F"/>
    <w:lvl w:ilvl="0" w:tentative="0">
      <w:start w:val="1"/>
      <w:numFmt w:val="chineseCounting"/>
      <w:suff w:val="nothing"/>
      <w:lvlText w:val="%1、"/>
      <w:lvlJc w:val="left"/>
      <w:rPr>
        <w:rFonts w:hint="eastAsia"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iNzExNmJmN2Y5OTg4OGJiZGM5ZmI2N2U2ZDQxMjEifQ=="/>
  </w:docVars>
  <w:rsids>
    <w:rsidRoot w:val="6B7C478B"/>
    <w:rsid w:val="003A4BFE"/>
    <w:rsid w:val="00553601"/>
    <w:rsid w:val="005F4E90"/>
    <w:rsid w:val="00625C47"/>
    <w:rsid w:val="00883C1D"/>
    <w:rsid w:val="44790A9E"/>
    <w:rsid w:val="48576646"/>
    <w:rsid w:val="5886448A"/>
    <w:rsid w:val="62D963D6"/>
    <w:rsid w:val="6B7C478B"/>
    <w:rsid w:val="71AD584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sdException w:unhideWhenUsed="0" w:uiPriority="99" w:semiHidden="0" w:name="toc 2"/>
    <w:lsdException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uiPriority w:val="99"/>
    <w:pPr>
      <w:ind w:left="840" w:leftChars="400"/>
    </w:p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12"/>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uiPriority w:val="99"/>
  </w:style>
  <w:style w:type="paragraph" w:styleId="6">
    <w:name w:val="toc 2"/>
    <w:basedOn w:val="1"/>
    <w:next w:val="1"/>
    <w:uiPriority w:val="99"/>
    <w:pPr>
      <w:ind w:left="420" w:leftChars="200"/>
    </w:pPr>
  </w:style>
  <w:style w:type="character" w:styleId="9">
    <w:name w:val="page number"/>
    <w:basedOn w:val="8"/>
    <w:qFormat/>
    <w:uiPriority w:val="99"/>
    <w:rPr>
      <w:rFonts w:cs="Times New Roman"/>
    </w:rPr>
  </w:style>
  <w:style w:type="character" w:customStyle="1" w:styleId="10">
    <w:name w:val="Footer Char"/>
    <w:basedOn w:val="8"/>
    <w:link w:val="3"/>
    <w:semiHidden/>
    <w:qFormat/>
    <w:uiPriority w:val="99"/>
    <w:rPr>
      <w:rFonts w:ascii="Times New Roman" w:hAnsi="Times New Roman"/>
      <w:sz w:val="18"/>
      <w:szCs w:val="18"/>
    </w:rPr>
  </w:style>
  <w:style w:type="paragraph" w:customStyle="1" w:styleId="11">
    <w:name w:val="p0"/>
    <w:basedOn w:val="1"/>
    <w:qFormat/>
    <w:uiPriority w:val="99"/>
    <w:pPr>
      <w:widowControl/>
    </w:pPr>
    <w:rPr>
      <w:kern w:val="0"/>
      <w:szCs w:val="21"/>
    </w:rPr>
  </w:style>
  <w:style w:type="character" w:customStyle="1" w:styleId="12">
    <w:name w:val="Header Char"/>
    <w:basedOn w:val="8"/>
    <w:link w:val="4"/>
    <w:semiHidden/>
    <w:qFormat/>
    <w:uiPriority w:val="99"/>
    <w:rPr>
      <w:rFonts w:ascii="Times New Roman" w:hAnsi="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10</Pages>
  <Words>1101</Words>
  <Characters>1119</Characters>
  <Lines>0</Lines>
  <Paragraphs>0</Paragraphs>
  <TotalTime>4</TotalTime>
  <ScaleCrop>false</ScaleCrop>
  <LinksUpToDate>false</LinksUpToDate>
  <CharactersWithSpaces>1152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2023-04-17T05:18:00Z</dcterms:created>
  <dc:creator>hpbvcgf4522</dc:creator>
  <cp:lastModifiedBy>明我以德</cp:lastModifiedBy>
  <cp:lastPrinted>2023-04-17T05:25:00Z</cp:lastPrinted>
  <dcterms:modified xsi:type="dcterms:W3CDTF">2026-03-12T09:11:58Z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5BEE46A213014A668DEDA13C838EACA8_13</vt:lpwstr>
  </property>
  <property fmtid="{D5CDD505-2E9C-101B-9397-08002B2CF9AE}" pid="4" name="KSOTemplateDocerSaveRecord">
    <vt:lpwstr>eyJoZGlkIjoiMTMxOGFmMzlhZTBjZjYxZTRjYzQ4ZWJlMjcxY2UxZjkiLCJ1c2VySWQiOiIzNDUxOTY2ODMifQ==</vt:lpwstr>
  </property>
</Properties>
</file>