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渝水区困难重度失能残疾人照护和托养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cs="仿宋_GB2312"/>
          <w:spacing w:val="6"/>
          <w:sz w:val="32"/>
          <w:szCs w:val="32"/>
        </w:rPr>
      </w:pPr>
      <w:r>
        <w:rPr>
          <w:rFonts w:hint="eastAsia" w:ascii="方正小标宋简体" w:eastAsia="方正小标宋简体"/>
          <w:sz w:val="44"/>
          <w:szCs w:val="44"/>
        </w:rPr>
        <w:t>工作实施办法</w:t>
      </w:r>
    </w:p>
    <w:p>
      <w:pPr>
        <w:keepNext w:val="0"/>
        <w:keepLines w:val="0"/>
        <w:pageBreakBefore w:val="0"/>
        <w:kinsoku/>
        <w:wordWrap/>
        <w:overflowPunct/>
        <w:topLinePunct w:val="0"/>
        <w:autoSpaceDE/>
        <w:autoSpaceDN/>
        <w:bidi w:val="0"/>
        <w:adjustRightInd/>
        <w:snapToGrid/>
        <w:spacing w:line="560" w:lineRule="exact"/>
        <w:ind w:firstLine="5146" w:firstLineChars="1550"/>
        <w:textAlignment w:val="auto"/>
        <w:rPr>
          <w:rFonts w:ascii="仿宋_GB2312" w:hAnsi="仿宋" w:eastAsia="仿宋_GB2312" w:cs="仿宋_GB2312"/>
          <w:spacing w:val="6"/>
          <w:sz w:val="32"/>
          <w:szCs w:val="32"/>
        </w:rPr>
      </w:pP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根据《江西省人民政府办公厅关于开展建档立卡贫困重度失能残疾人照护和托养工作的指导意见》（赣府厅发〔2019〕4号）和《江西省民政厅等六部门关于加快推动贫困重度失能残疾人照护和托养工作的通知》（赣民字〔2020〕57号）文件精神，进一步解决困难重度失能残疾人特殊困难,加快推进困难重度失能残疾人照护服务工作,现结合我区实际，制定本实施办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rPr>
        <w:t>一</w:t>
      </w:r>
      <w:r>
        <w:rPr>
          <w:rFonts w:ascii="黑体" w:hAnsi="宋体" w:eastAsia="黑体" w:cs="黑体"/>
          <w:color w:val="000000"/>
          <w:kern w:val="0"/>
          <w:sz w:val="31"/>
          <w:szCs w:val="31"/>
        </w:rPr>
        <w:t xml:space="preserve">、基本原则 </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坚持政府主导、责任共担。发挥政府在规划制定、政策扶持、资金投入、监督管理等方面的主导作用，统一部署、协调推进。明确政府、家庭和社会责任，形成政府兜底线、部门履职责、家庭尽义务、社会广泛参与的工作格局。</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——坚持实事求是、稳步推开。紧密结合我区开展照护和托养工作的现实基础，稳步推开。</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——坚持需求导向、精准实施。根据脱贫攻坚中困难重度失能残疾人需求和分布情况，落实属地管理，精准施策，应补尽补，不漏一人。</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仿宋" w:eastAsia="黑体" w:cs="仿宋_GB2312"/>
          <w:spacing w:val="6"/>
          <w:sz w:val="32"/>
          <w:szCs w:val="32"/>
        </w:rPr>
      </w:pPr>
      <w:r>
        <w:rPr>
          <w:rFonts w:hint="eastAsia" w:ascii="黑体" w:hAnsi="宋体" w:eastAsia="黑体" w:cs="黑体"/>
          <w:color w:val="000000"/>
          <w:kern w:val="0"/>
          <w:sz w:val="31"/>
          <w:szCs w:val="31"/>
        </w:rPr>
        <w:t>二、对象管理</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（一）明确实施对象范围。</w:t>
      </w:r>
      <w:r>
        <w:rPr>
          <w:rFonts w:hint="eastAsia" w:ascii="仿宋_GB2312" w:hAnsi="仿宋" w:eastAsia="仿宋_GB2312" w:cs="仿宋_GB2312"/>
          <w:spacing w:val="6"/>
          <w:sz w:val="32"/>
          <w:szCs w:val="32"/>
        </w:rPr>
        <w:t>原则上同时具备以下条件的残疾人可纳入照护和托养范围：1.具有渝水区户籍；2.脱贫户或低保对象；3.年满16周岁；4.持有第二代《中华人民共和国残疾人证》且残疾等级为一、二级的精神、智力和肢体残疾人；5.未纳入特困人员救助供养范围的；6.按照自主吃饭、穿衣、上下床、如厕、室内行走、洗澡等6项指标，有4－6项不能达到的重度失能残疾人。</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（二）建立动态管理机制。</w:t>
      </w:r>
      <w:r>
        <w:rPr>
          <w:rFonts w:hint="eastAsia" w:ascii="仿宋_GB2312" w:hAnsi="仿宋" w:eastAsia="仿宋_GB2312" w:cs="仿宋_GB2312"/>
          <w:spacing w:val="6"/>
          <w:sz w:val="32"/>
          <w:szCs w:val="32"/>
        </w:rPr>
        <w:t>建立重度失能残疾人照护和托养工作动态管理机制，因死亡</w:t>
      </w:r>
      <w:r>
        <w:rPr>
          <w:rFonts w:ascii="仿宋_GB2312" w:hAnsi="仿宋" w:eastAsia="仿宋_GB2312" w:cs="仿宋_GB2312"/>
          <w:spacing w:val="6"/>
          <w:sz w:val="32"/>
          <w:szCs w:val="32"/>
        </w:rPr>
        <w:t>或其他因素不再符合照护和托养条件的，</w:t>
      </w:r>
      <w:r>
        <w:rPr>
          <w:rFonts w:hint="eastAsia" w:ascii="仿宋_GB2312" w:hAnsi="仿宋" w:eastAsia="仿宋_GB2312" w:cs="仿宋_GB2312"/>
          <w:spacing w:val="6"/>
          <w:sz w:val="32"/>
          <w:szCs w:val="32"/>
        </w:rPr>
        <w:t>应及时做好退出管理。村（居）委会于每月5日前向乡镇（办事处）民政部门反馈新增的或者身体好转不再符合补贴条件的、因死亡等原因减员的补贴对象信息，乡镇（办事处）民政部门负责核减、审核、汇总，并上报至区民政部门，同时做好本级相关部门信息共享工作，确保应补尽补，应退尽退，确保精准认定、精准发放。</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（三）建立能力评估机制。</w:t>
      </w:r>
      <w:r>
        <w:rPr>
          <w:rFonts w:hint="eastAsia" w:ascii="仿宋_GB2312" w:hAnsi="仿宋" w:eastAsia="仿宋_GB2312" w:cs="仿宋_GB2312"/>
          <w:spacing w:val="6"/>
          <w:sz w:val="32"/>
          <w:szCs w:val="32"/>
        </w:rPr>
        <w:t>根据本地实际，进一步建立健全残疾人生活自理能力评估机制，完善有关程序，开展生活自理能力评估工作。也可积极探索委托医疗卫生机构、第三方专业机构开展评估等。</w:t>
      </w:r>
    </w:p>
    <w:p>
      <w:pPr>
        <w:keepNext w:val="0"/>
        <w:keepLines w:val="0"/>
        <w:pageBreakBefore w:val="0"/>
        <w:tabs>
          <w:tab w:val="left" w:pos="3130"/>
        </w:tabs>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（四）建立探视巡访制度。</w:t>
      </w:r>
      <w:r>
        <w:rPr>
          <w:rFonts w:hint="eastAsia" w:ascii="仿宋_GB2312" w:hAnsi="仿宋" w:eastAsia="仿宋_GB2312" w:cs="仿宋_GB2312"/>
          <w:spacing w:val="6"/>
          <w:sz w:val="32"/>
          <w:szCs w:val="32"/>
        </w:rPr>
        <w:t>全面建立困难重度失能残疾人探视巡访制度，实现居家照护服务对象全覆盖，进一步健全残疾人帮扶制度，完善残疾人关爱服务体系，助力残疾人全面发展和共同富裕。探视巡访服务工作在各级民政部门、残联组织指导下，由乡镇（办事处）统筹安排，乡镇（办事处）民政干部、残疾人专职委员就近就便、分片包干负责具体实施。</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宋体" w:eastAsia="黑体" w:cs="黑体"/>
          <w:color w:val="000000"/>
          <w:kern w:val="0"/>
          <w:sz w:val="31"/>
          <w:szCs w:val="31"/>
        </w:rPr>
      </w:pPr>
      <w:r>
        <w:rPr>
          <w:rFonts w:hint="eastAsia" w:ascii="黑体" w:hAnsi="宋体" w:eastAsia="黑体" w:cs="黑体"/>
          <w:color w:val="000000"/>
          <w:kern w:val="0"/>
          <w:sz w:val="31"/>
          <w:szCs w:val="31"/>
        </w:rPr>
        <w:t>三、服务形式及补贴标准</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（一）照护和托养形式。</w:t>
      </w:r>
      <w:r>
        <w:rPr>
          <w:rFonts w:hint="eastAsia" w:ascii="仿宋_GB2312" w:hAnsi="仿宋" w:eastAsia="仿宋_GB2312" w:cs="仿宋_GB2312"/>
          <w:spacing w:val="6"/>
          <w:sz w:val="32"/>
          <w:szCs w:val="32"/>
        </w:rPr>
        <w:t>残疾人照护和托养工作实行居家照护为主，日间照料和机构托养为辅的工作模式，符合条件的对象可申请其中的任何一种。</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b/>
          <w:spacing w:val="6"/>
          <w:sz w:val="32"/>
          <w:szCs w:val="32"/>
        </w:rPr>
        <w:t>1.居家照护。</w:t>
      </w:r>
      <w:r>
        <w:rPr>
          <w:rFonts w:hint="eastAsia" w:ascii="仿宋_GB2312" w:hAnsi="仿宋" w:eastAsia="仿宋_GB2312" w:cs="仿宋_GB2312"/>
          <w:spacing w:val="6"/>
          <w:sz w:val="32"/>
          <w:szCs w:val="32"/>
        </w:rPr>
        <w:t>鼓励符合条件的残疾人亲属、邻里或社会组织为有需求的残疾人提供基本生活照料、康复护理、心理慰藉等服务。督促照护和托养对象的法定赡养、抚养、扶养义务人履行义务和责任。提升居家照护服务水平，定期向提供居家照护服务的个人或组织开展护理知识和技能培训。</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b/>
          <w:spacing w:val="6"/>
          <w:sz w:val="32"/>
          <w:szCs w:val="32"/>
        </w:rPr>
        <w:t>2.日间照料。</w:t>
      </w:r>
      <w:r>
        <w:rPr>
          <w:rFonts w:hint="eastAsia" w:ascii="仿宋_GB2312" w:hAnsi="仿宋" w:eastAsia="仿宋_GB2312" w:cs="仿宋_GB2312"/>
          <w:spacing w:val="6"/>
          <w:sz w:val="32"/>
          <w:szCs w:val="32"/>
        </w:rPr>
        <w:t>建立日间照料服务设施标准，整合设施资源，按标准新建或改建日间照料场所和精神障碍社区康复服务站点，分别为符合条件的智力、肢体残疾人和精神残疾人提供日间照料、心理疏导、康复训练等服务。</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b/>
          <w:spacing w:val="6"/>
          <w:sz w:val="32"/>
          <w:szCs w:val="32"/>
        </w:rPr>
        <w:t>3.机构托养。</w:t>
      </w:r>
      <w:r>
        <w:rPr>
          <w:rFonts w:hint="eastAsia" w:ascii="仿宋_GB2312" w:hAnsi="仿宋" w:eastAsia="仿宋_GB2312" w:cs="仿宋_GB2312"/>
          <w:spacing w:val="6"/>
          <w:sz w:val="32"/>
          <w:szCs w:val="32"/>
        </w:rPr>
        <w:t>各地可整合资源，充分利用敬老院、幸福院、养老院、托养机构、具备条件并申请办理养老照护的基层医疗卫生机构等，以政府购买服务的形式为有长期照护需求的困难重度残疾人提供集中照护服务。围绕智力和肢体残疾人护理和康复需求，按照残疾人护理设施建设标准，加快残疾人综合托养服务机构规划建设，分年度实施农村公办养老院改造工程，逐步提升托养能力。鼓励有条件的农村公办养老院，在满足特困人员集中供养需求的前提下，逐步为脱贫户、低保对象中的智力和肢体残疾人提供低偿或无偿服务。鼓励社会投资创办重度残疾人托养中心以及社会投资的养老机构接收重度残疾人提供托养服务。加快康复护理能力建设，整合政府公益性岗位和购买服务资源，补充专业护理人员工作力量，强化专业技术教育和培训，推进护理能力建设常态化。</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（二）补贴标准。</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1.采取居家照护和日间照料的，对提供服务的个人、组织或机构按每人每月不低于</w:t>
      </w:r>
      <w:r>
        <w:rPr>
          <w:rFonts w:ascii="仿宋_GB2312" w:hAnsi="仿宋" w:eastAsia="仿宋_GB2312" w:cs="仿宋_GB2312"/>
          <w:spacing w:val="6"/>
          <w:sz w:val="32"/>
          <w:szCs w:val="32"/>
        </w:rPr>
        <w:t>600</w:t>
      </w:r>
      <w:r>
        <w:rPr>
          <w:rFonts w:hint="eastAsia" w:ascii="仿宋_GB2312" w:hAnsi="仿宋" w:eastAsia="仿宋_GB2312" w:cs="仿宋_GB2312"/>
          <w:spacing w:val="6"/>
          <w:sz w:val="32"/>
          <w:szCs w:val="32"/>
        </w:rPr>
        <w:t>元的标准给予补助。</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2.在残疾人综合托养服务机构托养的，按每人每月不低于</w:t>
      </w:r>
      <w:r>
        <w:rPr>
          <w:rFonts w:ascii="仿宋_GB2312" w:hAnsi="仿宋" w:eastAsia="仿宋_GB2312" w:cs="仿宋_GB2312"/>
          <w:spacing w:val="6"/>
          <w:sz w:val="32"/>
          <w:szCs w:val="32"/>
        </w:rPr>
        <w:t>1000</w:t>
      </w:r>
      <w:r>
        <w:rPr>
          <w:rFonts w:hint="eastAsia" w:ascii="仿宋_GB2312" w:hAnsi="仿宋" w:eastAsia="仿宋_GB2312" w:cs="仿宋_GB2312"/>
          <w:spacing w:val="6"/>
          <w:sz w:val="32"/>
          <w:szCs w:val="32"/>
        </w:rPr>
        <w:t>元标准给予机构补助。在农村公办养老院托养的，参照我省特困人员护理费标准给予托养机构补助。补助标准根据当地经济社会发展和残疾人实际需求适时调整。区政府可结合实际，分类确定经费保障标准并建立动态调整机制。</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加强政策衔接，按照择高享受、不重复享受的原则，凡享受上述残疾人照护和托养补助的对象，不再享受残疾人两项补贴；对上述不再发放给个人的残疾人两项补贴，各地可根据本地实际，每年底，据实从残疾两项补贴中整合到整个残疾人照护和托养工作资金盘子里，用于统筹发放残疾人照护和托养补助。</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凡享受上述残疾人照护和托养补助的对象，对领取了政府发放的生活性补助（如：低保金、老龄补贴等），按原渠道、原方式发放给个人；如上述对象申请机构托养的，由其家人统筹其领取的政府生活性补助资金，按照当年机构供养标准进行缴费（残疾人综合托养服务机构根据其他对象收费标准自定，原则上不得高于当年农村特困供养标准），不足部分由其家庭补齐，并于每季度第1个月15日前将自缴费用打到供养机构提供的账号上，以确保补助对象的基本生活。</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宋体" w:eastAsia="黑体" w:cs="黑体"/>
          <w:color w:val="000000"/>
          <w:kern w:val="0"/>
          <w:sz w:val="31"/>
          <w:szCs w:val="31"/>
        </w:rPr>
      </w:pPr>
      <w:r>
        <w:rPr>
          <w:rFonts w:hint="eastAsia" w:ascii="黑体" w:hAnsi="宋体" w:eastAsia="黑体" w:cs="黑体"/>
          <w:color w:val="000000"/>
          <w:kern w:val="0"/>
          <w:sz w:val="31"/>
          <w:szCs w:val="31"/>
        </w:rPr>
        <w:t>四、申报程序</w:t>
      </w:r>
    </w:p>
    <w:p>
      <w:pPr>
        <w:keepNext w:val="0"/>
        <w:keepLines w:val="0"/>
        <w:pageBreakBefore w:val="0"/>
        <w:tabs>
          <w:tab w:val="left" w:pos="3119"/>
        </w:tabs>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残疾人照护和托养工作按照个人申请、村（居）委会初核、乡镇（办事处）初审、区审核、审批的程序进行。建立政府主导，民政牵头，残联、乡村振兴等部门逐级审核、联审会签的形式进行。</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（一）申请。</w:t>
      </w:r>
      <w:r>
        <w:rPr>
          <w:rFonts w:hint="eastAsia" w:ascii="仿宋_GB2312" w:hAnsi="仿宋" w:eastAsia="仿宋_GB2312" w:cs="仿宋_GB2312"/>
          <w:spacing w:val="6"/>
          <w:sz w:val="32"/>
          <w:szCs w:val="32"/>
        </w:rPr>
        <w:t>按照自愿原则，由残疾人本人或监护人向户籍所在地的村</w:t>
      </w:r>
      <w:r>
        <w:rPr>
          <w:rFonts w:ascii="仿宋_GB2312" w:hAnsi="仿宋" w:eastAsia="仿宋_GB2312" w:cs="仿宋_GB2312"/>
          <w:spacing w:val="6"/>
          <w:sz w:val="32"/>
          <w:szCs w:val="32"/>
        </w:rPr>
        <w:t>（居）委会提出申请，领取并填写附件《</w:t>
      </w:r>
      <w:r>
        <w:rPr>
          <w:rFonts w:hint="eastAsia" w:ascii="仿宋_GB2312" w:hAnsi="仿宋" w:eastAsia="仿宋_GB2312" w:cs="仿宋_GB2312"/>
          <w:spacing w:val="6"/>
          <w:sz w:val="32"/>
          <w:szCs w:val="32"/>
        </w:rPr>
        <w:t>困难</w:t>
      </w:r>
      <w:r>
        <w:rPr>
          <w:rFonts w:ascii="仿宋_GB2312" w:hAnsi="仿宋" w:eastAsia="仿宋_GB2312" w:cs="仿宋_GB2312"/>
          <w:spacing w:val="6"/>
          <w:sz w:val="32"/>
          <w:szCs w:val="32"/>
        </w:rPr>
        <w:t>重度失能残疾人照护和托养审批表》（以下简称《审批表》）</w:t>
      </w:r>
      <w:r>
        <w:rPr>
          <w:rFonts w:hint="eastAsia" w:ascii="仿宋_GB2312" w:hAnsi="仿宋" w:eastAsia="仿宋_GB2312" w:cs="仿宋_GB2312"/>
          <w:spacing w:val="6"/>
          <w:sz w:val="32"/>
          <w:szCs w:val="32"/>
        </w:rPr>
        <w:t>，提供申请人身份证、户口本、残疾证原件及复印件。</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（二）初核。</w:t>
      </w:r>
      <w:r>
        <w:rPr>
          <w:rFonts w:hint="eastAsia" w:ascii="仿宋_GB2312" w:hAnsi="仿宋" w:eastAsia="仿宋_GB2312" w:cs="仿宋_GB2312"/>
          <w:spacing w:val="6"/>
          <w:sz w:val="32"/>
          <w:szCs w:val="32"/>
        </w:rPr>
        <w:t>村（居）委会受理后，组织对材料进行初步核实，并进行入户调查、邻里走访，就其材料真实性及失能情况进行核实，完善其申请资料，由村委主要领导和经办人员签字、盖章报乡镇（办事处）民政部门。</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（三）初审。</w:t>
      </w:r>
      <w:r>
        <w:rPr>
          <w:rFonts w:hint="eastAsia" w:ascii="仿宋_GB2312" w:hAnsi="仿宋" w:eastAsia="仿宋_GB2312" w:cs="仿宋_GB2312"/>
          <w:spacing w:val="6"/>
          <w:sz w:val="32"/>
          <w:szCs w:val="32"/>
        </w:rPr>
        <w:t>乡镇（办事处）负责本辖区困难重度失能残疾人申报资格的审核（可采取联审会签的形式）、评估。组织民政、乡村振兴、残联等部门成立联合调查组，对申报对象的失能情况、材料情况进行核实。民政部门对是否低保、特困对象身份进行审核，乡村振兴部门对是否为脱贫户进行审核，残联部门对残疾类别、等级等情况进行审核，入户调查干部对失能情况进行审核。经联合审核通过后，在《审批表》上签署意见并加盖公章，乡镇（办事处）负责将符合照护和托养条件的残疾人名单在村（居）委会公示7日，无异议后将资料上报至区民政部门。对不符合条件的申请不予批准，并书面向申请人说明理由。</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w:t>
      </w:r>
      <w:r>
        <w:rPr>
          <w:rFonts w:hint="eastAsia" w:ascii="楷体_GB2312" w:hAnsi="仿宋" w:eastAsia="楷体_GB2312" w:cs="仿宋_GB2312"/>
          <w:b/>
          <w:spacing w:val="6"/>
          <w:sz w:val="32"/>
          <w:szCs w:val="32"/>
        </w:rPr>
        <w:t>四</w:t>
      </w:r>
      <w:r>
        <w:rPr>
          <w:rFonts w:ascii="楷体_GB2312" w:hAnsi="仿宋" w:eastAsia="楷体_GB2312" w:cs="仿宋_GB2312"/>
          <w:b/>
          <w:spacing w:val="6"/>
          <w:sz w:val="32"/>
          <w:szCs w:val="32"/>
        </w:rPr>
        <w:t>）</w:t>
      </w:r>
      <w:r>
        <w:rPr>
          <w:rFonts w:hint="eastAsia" w:ascii="楷体_GB2312" w:hAnsi="仿宋" w:eastAsia="楷体_GB2312" w:cs="仿宋_GB2312"/>
          <w:b/>
          <w:spacing w:val="6"/>
          <w:sz w:val="32"/>
          <w:szCs w:val="32"/>
        </w:rPr>
        <w:t>审核、审批。</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参照上述程序，由区级人民政府民政部门牵头，联合乡村振兴、残联全面审查乡镇（办事处）上报的调查材料和审核意见，于20个工作日内作出审批决定。对符合条件的申请予以批准，建立基础信息数据库，对审批通过的残疾人实行实名制管理，做到一人一档，并在申请人所在村（居）委会进行公布；对不符合条件的申请不予批准，并书面向申请人说明理由。</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宋体" w:eastAsia="黑体" w:cs="黑体"/>
          <w:color w:val="000000"/>
          <w:kern w:val="0"/>
          <w:sz w:val="31"/>
          <w:szCs w:val="31"/>
        </w:rPr>
      </w:pPr>
      <w:r>
        <w:rPr>
          <w:rFonts w:hint="eastAsia" w:ascii="黑体" w:hAnsi="宋体" w:eastAsia="黑体" w:cs="黑体"/>
          <w:color w:val="000000"/>
          <w:kern w:val="0"/>
          <w:sz w:val="31"/>
          <w:szCs w:val="31"/>
        </w:rPr>
        <w:t>五、明确责任</w:t>
      </w:r>
    </w:p>
    <w:p>
      <w:pPr>
        <w:keepNext w:val="0"/>
        <w:keepLines w:val="0"/>
        <w:pageBreakBefore w:val="0"/>
        <w:widowControl/>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（一）居家照护。</w:t>
      </w:r>
      <w:r>
        <w:rPr>
          <w:rFonts w:hint="eastAsia" w:ascii="仿宋_GB2312" w:hAnsi="仿宋" w:eastAsia="仿宋_GB2312" w:cs="仿宋_GB2312"/>
          <w:spacing w:val="6"/>
          <w:sz w:val="32"/>
          <w:szCs w:val="32"/>
        </w:rPr>
        <w:t>被认定后的对象，如选择居家照护的方式，由村（居）委会负责组织实施和监管，要与家庭照料人员签订居家照护服务协议，明确互助双方权利义务，由村“两委”干部定期对照护人员进行满意测评，对不履行照护服务协议的，要采取有效措施予以改正。</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（二）日间照料。</w:t>
      </w:r>
      <w:r>
        <w:rPr>
          <w:rFonts w:hint="eastAsia" w:ascii="仿宋_GB2312" w:hAnsi="仿宋" w:eastAsia="仿宋_GB2312" w:cs="仿宋_GB2312"/>
          <w:spacing w:val="6"/>
          <w:sz w:val="32"/>
          <w:szCs w:val="32"/>
        </w:rPr>
        <w:t>被认定后的对象，如选择日间照料的方式，由日间照料审批的主管部门负责监管，明确服务方式、服务项目、服务标准和责任追究等内容，切实督促照料机构落实主体责任。</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（三）机构托养。</w:t>
      </w:r>
      <w:r>
        <w:rPr>
          <w:rFonts w:hint="eastAsia" w:ascii="仿宋_GB2312" w:hAnsi="仿宋" w:eastAsia="仿宋_GB2312" w:cs="仿宋_GB2312"/>
          <w:spacing w:val="6"/>
          <w:sz w:val="32"/>
          <w:szCs w:val="32"/>
        </w:rPr>
        <w:t>按照自愿择优的原则，被认定后的对象如选择残联系统监管的公办残疾人综合托养服务机构入住托养的，由残联部门负责监督；如选择福利院、农村公办养老机构或养老机构入住托养的，由民政部门负责监管；如选择社会服务机构托养的，由机构主管部门负责监管。各监督部门要指导督促托养机构与困难对象签订委托服务协议，明确服务方式、服务项目、服务标准和责任追究等内容，切实督促托养机构落实主体责任。</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宋体" w:eastAsia="黑体" w:cs="黑体"/>
          <w:color w:val="000000"/>
          <w:kern w:val="0"/>
          <w:sz w:val="31"/>
          <w:szCs w:val="31"/>
        </w:rPr>
      </w:pPr>
      <w:r>
        <w:rPr>
          <w:rFonts w:hint="eastAsia" w:ascii="黑体" w:hAnsi="宋体" w:eastAsia="黑体" w:cs="黑体"/>
          <w:color w:val="000000"/>
          <w:kern w:val="0"/>
          <w:sz w:val="31"/>
          <w:szCs w:val="31"/>
        </w:rPr>
        <w:t>六、有关要求</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hint="eastAsia" w:ascii="楷体_GB2312" w:hAnsi="仿宋" w:eastAsia="楷体_GB2312" w:cs="仿宋_GB2312"/>
          <w:b/>
          <w:spacing w:val="6"/>
          <w:sz w:val="32"/>
          <w:szCs w:val="32"/>
        </w:rPr>
        <w:t>（一）加强组织领导。</w:t>
      </w:r>
      <w:r>
        <w:rPr>
          <w:rFonts w:hint="eastAsia" w:ascii="仿宋_GB2312" w:hAnsi="仿宋" w:eastAsia="仿宋_GB2312" w:cs="仿宋_GB2312"/>
          <w:spacing w:val="6"/>
          <w:sz w:val="32"/>
          <w:szCs w:val="32"/>
        </w:rPr>
        <w:t>残疾人照护和托养工作，实行政府领</w:t>
      </w:r>
      <w:r>
        <w:rPr>
          <w:rFonts w:ascii="仿宋_GB2312" w:hAnsi="仿宋" w:eastAsia="仿宋_GB2312" w:cs="仿宋_GB2312"/>
          <w:spacing w:val="6"/>
          <w:sz w:val="32"/>
          <w:szCs w:val="32"/>
        </w:rPr>
        <w:t>导、</w:t>
      </w:r>
      <w:r>
        <w:rPr>
          <w:rFonts w:hint="eastAsia" w:ascii="仿宋_GB2312" w:hAnsi="仿宋" w:eastAsia="仿宋_GB2312" w:cs="仿宋_GB2312"/>
          <w:spacing w:val="6"/>
          <w:sz w:val="32"/>
          <w:szCs w:val="32"/>
        </w:rPr>
        <w:t>民政和残联牵头，相关部门协作，社会力量支持，残疾人及其家庭参与</w:t>
      </w:r>
      <w:r>
        <w:rPr>
          <w:rFonts w:ascii="仿宋_GB2312" w:hAnsi="仿宋" w:eastAsia="仿宋_GB2312" w:cs="仿宋_GB2312"/>
          <w:spacing w:val="6"/>
          <w:sz w:val="32"/>
          <w:szCs w:val="32"/>
        </w:rPr>
        <w:t>的工作机制。各地要加强组织领导，将残疾人照护和托养工作</w:t>
      </w:r>
      <w:r>
        <w:rPr>
          <w:rFonts w:hint="eastAsia" w:ascii="仿宋_GB2312" w:hAnsi="仿宋" w:eastAsia="仿宋_GB2312" w:cs="仿宋_GB2312"/>
          <w:spacing w:val="6"/>
          <w:sz w:val="32"/>
          <w:szCs w:val="32"/>
        </w:rPr>
        <w:t>列入</w:t>
      </w:r>
      <w:r>
        <w:rPr>
          <w:rFonts w:ascii="仿宋_GB2312" w:hAnsi="仿宋" w:eastAsia="仿宋_GB2312" w:cs="仿宋_GB2312"/>
          <w:spacing w:val="6"/>
          <w:sz w:val="32"/>
          <w:szCs w:val="32"/>
        </w:rPr>
        <w:t>民生保障工作重要内容</w:t>
      </w:r>
      <w:r>
        <w:rPr>
          <w:rFonts w:hint="eastAsia" w:ascii="仿宋_GB2312" w:hAnsi="仿宋"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（二）落实工作职责。</w:t>
      </w:r>
      <w:r>
        <w:rPr>
          <w:rFonts w:hint="eastAsia" w:ascii="仿宋_GB2312" w:hAnsi="仿宋" w:eastAsia="仿宋_GB2312" w:cs="仿宋_GB2312"/>
          <w:spacing w:val="6"/>
          <w:sz w:val="32"/>
          <w:szCs w:val="32"/>
        </w:rPr>
        <w:t>各级民政部门要履行主管部门职责，加强统筹指导，及时研究解决工作中遇到的问题，做好对象审定、服务提供、监督管理等工作;负责做好民政领域供给能力摸底，统筹各级福彩公益金，推动农村公办养老院设施建设和改造，逐步增强托养能力，对到农村公办养老院托养的对象进行审核把关，督促相关养老院做好照料服务和日常管理工作。残联组织要发挥“代表、服务、管理”职能作用，及时了解掌握残疾人意愿和需求，严格残疾人证发放管理，做好残联系统残疾人综合托养服务设施的建设管理工作，商财政部门整合阳光家园计划、残疾人康复等资金。乡村振兴部门负责精准比对筛查脱贫对象，统筹扶贫慈善基金，配合做好审核和退出管理等工作。财政部门负责做好残疾人照护和托养资金筹集、预算、管理和拨付工作。卫健部门负责做好集中托养中心医护人员的指导管理工作，协助做好医疗服务保障工作。人社部门负责优先推荐困难重度残疾人家庭成员或者亲属就业。其他相关部门根据各自职责，共同推进工作的开展。</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（三）落实资金保障。</w:t>
      </w:r>
      <w:r>
        <w:rPr>
          <w:rFonts w:ascii="仿宋_GB2312" w:hAnsi="仿宋" w:eastAsia="仿宋_GB2312" w:cs="仿宋_GB2312"/>
          <w:spacing w:val="6"/>
          <w:sz w:val="32"/>
          <w:szCs w:val="32"/>
        </w:rPr>
        <w:t>建立健全与经济社会发展水平和保障标准相适应的资金保障机制</w:t>
      </w:r>
      <w:r>
        <w:rPr>
          <w:rFonts w:hint="eastAsia" w:ascii="仿宋_GB2312" w:hAnsi="仿宋" w:eastAsia="仿宋_GB2312" w:cs="仿宋_GB2312"/>
          <w:spacing w:val="6"/>
          <w:sz w:val="32"/>
          <w:szCs w:val="32"/>
        </w:rPr>
        <w:t>，</w:t>
      </w:r>
      <w:r>
        <w:rPr>
          <w:rFonts w:ascii="仿宋_GB2312" w:hAnsi="仿宋" w:eastAsia="仿宋_GB2312" w:cs="仿宋_GB2312"/>
          <w:spacing w:val="6"/>
          <w:sz w:val="32"/>
          <w:szCs w:val="32"/>
        </w:rPr>
        <w:t>按照</w:t>
      </w:r>
      <w:r>
        <w:rPr>
          <w:rFonts w:hint="eastAsia" w:ascii="仿宋_GB2312" w:hAnsi="仿宋" w:eastAsia="仿宋_GB2312" w:cs="仿宋_GB2312"/>
          <w:spacing w:val="6"/>
          <w:sz w:val="32"/>
          <w:szCs w:val="32"/>
        </w:rPr>
        <w:t>属地管理的</w:t>
      </w:r>
      <w:r>
        <w:rPr>
          <w:rFonts w:ascii="仿宋_GB2312" w:hAnsi="仿宋" w:eastAsia="仿宋_GB2312" w:cs="仿宋_GB2312"/>
          <w:spacing w:val="6"/>
          <w:sz w:val="32"/>
          <w:szCs w:val="32"/>
        </w:rPr>
        <w:t>原则，</w:t>
      </w:r>
      <w:r>
        <w:rPr>
          <w:rFonts w:hint="eastAsia" w:ascii="仿宋_GB2312" w:hAnsi="仿宋" w:eastAsia="仿宋_GB2312" w:cs="仿宋_GB2312"/>
          <w:spacing w:val="6"/>
          <w:sz w:val="32"/>
          <w:szCs w:val="32"/>
        </w:rPr>
        <w:t>所需资金由区政府兜底安排。市级相关部门统筹整合使用福彩公益金、政府性生活和护理类补助资金、阳光家园计划、红十字会等资助资金；市级财政每年给予适当补助。各地要加强资金管理，确保</w:t>
      </w:r>
      <w:r>
        <w:rPr>
          <w:rFonts w:ascii="仿宋_GB2312" w:hAnsi="仿宋" w:eastAsia="仿宋_GB2312" w:cs="仿宋_GB2312"/>
          <w:spacing w:val="6"/>
          <w:sz w:val="32"/>
          <w:szCs w:val="32"/>
        </w:rPr>
        <w:t>残疾人照护和托养工作中设施建设和改造、设备更新、能力评估、照护托养</w:t>
      </w:r>
      <w:r>
        <w:rPr>
          <w:rFonts w:hint="eastAsia" w:ascii="仿宋_GB2312" w:hAnsi="仿宋" w:eastAsia="仿宋_GB2312" w:cs="仿宋_GB2312"/>
          <w:spacing w:val="6"/>
          <w:sz w:val="32"/>
          <w:szCs w:val="32"/>
        </w:rPr>
        <w:t>补助等经费得到有效落实。</w:t>
      </w:r>
    </w:p>
    <w:p>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ascii="仿宋_GB2312" w:hAnsi="仿宋" w:eastAsia="仿宋_GB2312" w:cs="仿宋_GB2312"/>
          <w:spacing w:val="6"/>
          <w:sz w:val="32"/>
          <w:szCs w:val="32"/>
        </w:rPr>
      </w:pPr>
      <w:r>
        <w:rPr>
          <w:rFonts w:ascii="楷体_GB2312" w:hAnsi="仿宋" w:eastAsia="楷体_GB2312" w:cs="仿宋_GB2312"/>
          <w:b/>
          <w:spacing w:val="6"/>
          <w:sz w:val="32"/>
          <w:szCs w:val="32"/>
        </w:rPr>
        <w:t>（四）强化监督管理。</w:t>
      </w:r>
      <w:r>
        <w:rPr>
          <w:rFonts w:ascii="仿宋_GB2312" w:hAnsi="仿宋" w:eastAsia="仿宋_GB2312" w:cs="仿宋_GB2312"/>
          <w:spacing w:val="6"/>
          <w:sz w:val="32"/>
          <w:szCs w:val="32"/>
        </w:rPr>
        <w:t>各有关部门要切实加强实施对象和资金的监督管理工作，采取适当形式公示照护和托养对象、补助标准和资金使用等情况，广泛接受社会监督。财政、审计、民政、残联等部门依法对残疾人照护和托养资金管理使用情况进行监督管理，坚决防止和查处贪污、挤占、挪用、虚报、冒领、套取补助资金等违法违纪行为。加强残疾人照护和托养工作日常监督和安全管理，杜绝安全责任事故以及欺虐残疾人事件发生</w:t>
      </w:r>
      <w:r>
        <w:rPr>
          <w:rFonts w:hint="eastAsia" w:ascii="仿宋_GB2312" w:hAnsi="仿宋" w:eastAsia="仿宋_GB2312" w:cs="仿宋_GB2312"/>
          <w:spacing w:val="6"/>
          <w:sz w:val="32"/>
          <w:szCs w:val="32"/>
        </w:rPr>
        <w:t>，切实提升困难重度残疾人的获得感、幸福感和安全感。</w:t>
      </w:r>
    </w:p>
    <w:p>
      <w:pPr>
        <w:keepNext w:val="0"/>
        <w:keepLines w:val="0"/>
        <w:pageBreakBefore w:val="0"/>
        <w:widowControl/>
        <w:kinsoku/>
        <w:wordWrap/>
        <w:overflowPunct/>
        <w:topLinePunct w:val="0"/>
        <w:autoSpaceDE/>
        <w:autoSpaceDN/>
        <w:bidi w:val="0"/>
        <w:adjustRightInd/>
        <w:snapToGrid/>
        <w:spacing w:line="560" w:lineRule="exact"/>
        <w:ind w:firstLine="664" w:firstLineChars="200"/>
        <w:jc w:val="both"/>
        <w:textAlignment w:val="auto"/>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本办法自2022年1月1日起开始执行，2020年渝水区民政局等六部门印发的《新余市关于在脱贫攻坚中做好贫困重度失能残疾人照护和托养工作的实施办法（试行）》文件和补充通知文件同时废止，具体解释权由区民政局商有关单位负责。</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仿宋_GB2312" w:hAnsi="宋体" w:eastAsia="仿宋_GB2312" w:cs="仿宋_GB2312"/>
          <w:color w:val="000000"/>
          <w:kern w:val="0"/>
          <w:sz w:val="31"/>
          <w:szCs w:val="31"/>
        </w:rPr>
      </w:pP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ascii="黑体" w:hAnsi="宋体" w:eastAsia="黑体" w:cs="黑体"/>
          <w:color w:val="000000"/>
          <w:kern w:val="0"/>
          <w:sz w:val="31"/>
          <w:szCs w:val="31"/>
        </w:rPr>
      </w:pPr>
      <w:r>
        <w:rPr>
          <w:rFonts w:hint="eastAsia" w:ascii="仿宋_GB2312" w:hAnsi="宋体" w:eastAsia="仿宋_GB2312" w:cs="仿宋_GB2312"/>
          <w:color w:val="000000"/>
          <w:kern w:val="0"/>
          <w:sz w:val="31"/>
          <w:szCs w:val="31"/>
        </w:rPr>
        <w:t>附件：困难重度失能残疾人照护和托养审批表</w:t>
      </w: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jc w:val="both"/>
        <w:rPr>
          <w:rFonts w:hint="eastAsia" w:ascii="黑体" w:hAnsi="宋体" w:eastAsia="黑体" w:cs="黑体"/>
          <w:color w:val="000000"/>
          <w:kern w:val="0"/>
          <w:sz w:val="31"/>
          <w:szCs w:val="31"/>
        </w:rPr>
      </w:pPr>
    </w:p>
    <w:p>
      <w:pPr>
        <w:widowControl/>
        <w:rPr>
          <w:rFonts w:hint="eastAsia" w:ascii="黑体" w:hAnsi="宋体" w:eastAsia="黑体" w:cs="黑体"/>
          <w:color w:val="000000"/>
          <w:kern w:val="0"/>
          <w:sz w:val="31"/>
          <w:szCs w:val="31"/>
        </w:rPr>
      </w:pPr>
    </w:p>
    <w:p>
      <w:pPr>
        <w:widowControl/>
        <w:rPr>
          <w:rFonts w:hint="eastAsia" w:ascii="黑体" w:hAnsi="宋体" w:eastAsia="黑体" w:cs="黑体"/>
          <w:color w:val="000000"/>
          <w:kern w:val="0"/>
          <w:sz w:val="31"/>
          <w:szCs w:val="31"/>
        </w:rPr>
      </w:pPr>
    </w:p>
    <w:p>
      <w:pPr>
        <w:widowControl/>
        <w:rPr>
          <w:rFonts w:ascii="黑体" w:hAnsi="宋体" w:eastAsia="黑体" w:cs="黑体"/>
          <w:color w:val="000000"/>
          <w:kern w:val="0"/>
          <w:sz w:val="31"/>
          <w:szCs w:val="31"/>
        </w:rPr>
      </w:pPr>
      <w:r>
        <w:rPr>
          <w:rFonts w:hint="eastAsia" w:ascii="黑体" w:hAnsi="宋体" w:eastAsia="黑体" w:cs="黑体"/>
          <w:color w:val="000000"/>
          <w:kern w:val="0"/>
          <w:sz w:val="31"/>
          <w:szCs w:val="31"/>
        </w:rPr>
        <w:t>附件</w:t>
      </w:r>
    </w:p>
    <w:p>
      <w:pPr>
        <w:ind w:left="3080" w:hanging="3080" w:hangingChars="700"/>
        <w:jc w:val="center"/>
        <w:rPr>
          <w:rFonts w:ascii="方正小标宋简体" w:hAnsi="方正小标宋简体" w:eastAsia="方正小标宋简体" w:cs="方正小标宋简体"/>
          <w:sz w:val="44"/>
          <w:szCs w:val="44"/>
        </w:rPr>
      </w:pPr>
      <w:r>
        <w:rPr>
          <w:rFonts w:hint="eastAsia" w:ascii="黑体" w:hAnsi="宋体" w:eastAsia="黑体" w:cs="黑体"/>
          <w:color w:val="000000"/>
          <w:kern w:val="0"/>
          <w:sz w:val="44"/>
          <w:szCs w:val="44"/>
        </w:rPr>
        <w:t>困难重度失能残疾人照护和托养审批表</w:t>
      </w:r>
    </w:p>
    <w:p>
      <w:pPr>
        <w:jc w:val="right"/>
        <w:rPr>
          <w:sz w:val="24"/>
        </w:rPr>
      </w:pPr>
      <w:r>
        <w:rPr>
          <w:rFonts w:hint="eastAsia"/>
          <w:sz w:val="24"/>
        </w:rPr>
        <w:t>申请日期：年月日</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1"/>
        <w:gridCol w:w="1205"/>
        <w:gridCol w:w="237"/>
        <w:gridCol w:w="44"/>
        <w:gridCol w:w="755"/>
        <w:gridCol w:w="1316"/>
        <w:gridCol w:w="798"/>
        <w:gridCol w:w="1385"/>
        <w:gridCol w:w="84"/>
        <w:gridCol w:w="770"/>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姓名</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rPr>
                <w:sz w:val="24"/>
              </w:rPr>
            </w:pPr>
          </w:p>
        </w:tc>
        <w:tc>
          <w:tcPr>
            <w:tcW w:w="7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性别</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出生</w:t>
            </w:r>
          </w:p>
          <w:p>
            <w:pPr>
              <w:jc w:val="center"/>
              <w:rPr>
                <w:sz w:val="24"/>
              </w:rPr>
            </w:pPr>
            <w:r>
              <w:rPr>
                <w:rFonts w:hint="eastAsia"/>
                <w:sz w:val="24"/>
              </w:rPr>
              <w:t>年月</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户籍</w:t>
            </w:r>
          </w:p>
          <w:p>
            <w:pPr>
              <w:jc w:val="center"/>
              <w:rPr>
                <w:sz w:val="24"/>
              </w:rPr>
            </w:pPr>
            <w:r>
              <w:rPr>
                <w:rFonts w:hint="eastAsia"/>
                <w:sz w:val="24"/>
              </w:rPr>
              <w:t>类别</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残疾类别</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rPr>
                <w:sz w:val="24"/>
              </w:rPr>
            </w:pPr>
          </w:p>
        </w:tc>
        <w:tc>
          <w:tcPr>
            <w:tcW w:w="7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残疾</w:t>
            </w:r>
          </w:p>
          <w:p>
            <w:pPr>
              <w:jc w:val="center"/>
              <w:rPr>
                <w:sz w:val="24"/>
              </w:rPr>
            </w:pPr>
            <w:r>
              <w:rPr>
                <w:rFonts w:hint="eastAsia"/>
                <w:sz w:val="24"/>
              </w:rPr>
              <w:t>等级</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残疾</w:t>
            </w:r>
          </w:p>
          <w:p>
            <w:pPr>
              <w:jc w:val="center"/>
              <w:rPr>
                <w:sz w:val="24"/>
              </w:rPr>
            </w:pPr>
            <w:r>
              <w:rPr>
                <w:rFonts w:hint="eastAsia"/>
                <w:sz w:val="24"/>
              </w:rPr>
              <w:t>证号</w:t>
            </w:r>
          </w:p>
        </w:tc>
        <w:tc>
          <w:tcPr>
            <w:tcW w:w="346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家庭地址</w:t>
            </w:r>
          </w:p>
        </w:tc>
        <w:tc>
          <w:tcPr>
            <w:tcW w:w="7819"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sz w:val="24"/>
              </w:rPr>
            </w:pPr>
            <w:r>
              <w:rPr>
                <w:rFonts w:hint="eastAsia"/>
                <w:sz w:val="24"/>
              </w:rPr>
              <w:t>县（市、区）乡镇（街道）村（社区）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1241" w:type="dxa"/>
            <w:vMerge w:val="restart"/>
            <w:tcBorders>
              <w:top w:val="single" w:color="000000" w:sz="4" w:space="0"/>
              <w:left w:val="single" w:color="000000" w:sz="4" w:space="0"/>
              <w:right w:val="single" w:color="000000" w:sz="4" w:space="0"/>
            </w:tcBorders>
            <w:noWrap w:val="0"/>
            <w:vAlign w:val="center"/>
          </w:tcPr>
          <w:p>
            <w:pPr>
              <w:jc w:val="center"/>
              <w:rPr>
                <w:rFonts w:ascii="Times New Roman" w:hAnsi="Times New Roman" w:eastAsia="仿宋_GB2312"/>
                <w:sz w:val="24"/>
              </w:rPr>
            </w:pPr>
            <w:r>
              <w:rPr>
                <w:rFonts w:hint="eastAsia"/>
                <w:sz w:val="24"/>
              </w:rPr>
              <w:t>家庭类型</w:t>
            </w:r>
          </w:p>
        </w:tc>
        <w:tc>
          <w:tcPr>
            <w:tcW w:w="7819" w:type="dxa"/>
            <w:gridSpan w:val="10"/>
            <w:tcBorders>
              <w:top w:val="single" w:color="000000" w:sz="4" w:space="0"/>
              <w:left w:val="single" w:color="000000" w:sz="4" w:space="0"/>
              <w:bottom w:val="single" w:color="auto" w:sz="4" w:space="0"/>
              <w:right w:val="single" w:color="000000" w:sz="4" w:space="0"/>
            </w:tcBorders>
            <w:noWrap w:val="0"/>
            <w:vAlign w:val="center"/>
          </w:tcPr>
          <w:p>
            <w:pPr>
              <w:rPr>
                <w:rFonts w:ascii="Times New Roman" w:hAnsi="Times New Roman" w:eastAsia="仿宋_GB2312"/>
                <w:sz w:val="24"/>
              </w:rPr>
            </w:pPr>
            <w:r>
              <w:rPr>
                <w:rFonts w:hint="eastAsia"/>
                <w:sz w:val="24"/>
              </w:rPr>
              <w:t>脱贫户</w:t>
            </w:r>
            <w:r>
              <w:rPr>
                <w:rFonts w:hint="eastAsia"/>
                <w:szCs w:val="32"/>
              </w:rPr>
              <w:t>□</w:t>
            </w:r>
            <w:r>
              <w:rPr>
                <w:rFonts w:hint="eastAsia"/>
                <w:sz w:val="24"/>
              </w:rPr>
              <w:t>低保对象</w:t>
            </w:r>
            <w:r>
              <w:rPr>
                <w:rFonts w:hint="eastAsia"/>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41" w:type="dxa"/>
            <w:vMerge w:val="continue"/>
            <w:tcBorders>
              <w:left w:val="single" w:color="000000" w:sz="4" w:space="0"/>
              <w:bottom w:val="single" w:color="auto" w:sz="4" w:space="0"/>
              <w:right w:val="single" w:color="000000" w:sz="4" w:space="0"/>
            </w:tcBorders>
            <w:noWrap w:val="0"/>
            <w:vAlign w:val="center"/>
          </w:tcPr>
          <w:p>
            <w:pPr>
              <w:jc w:val="center"/>
              <w:rPr>
                <w:rFonts w:eastAsia="仿宋_GB2312"/>
                <w:sz w:val="24"/>
              </w:rPr>
            </w:pPr>
          </w:p>
        </w:tc>
        <w:tc>
          <w:tcPr>
            <w:tcW w:w="7819" w:type="dxa"/>
            <w:gridSpan w:val="10"/>
            <w:tcBorders>
              <w:top w:val="single" w:color="000000" w:sz="4" w:space="0"/>
              <w:left w:val="single" w:color="000000" w:sz="4" w:space="0"/>
              <w:bottom w:val="single" w:color="auto" w:sz="4" w:space="0"/>
              <w:right w:val="single" w:color="000000" w:sz="4" w:space="0"/>
            </w:tcBorders>
            <w:noWrap w:val="0"/>
            <w:vAlign w:val="center"/>
          </w:tcPr>
          <w:p>
            <w:pPr>
              <w:rPr>
                <w:rFonts w:ascii="Times New Roman" w:hAnsi="Times New Roman" w:eastAsia="仿宋_GB2312"/>
                <w:sz w:val="24"/>
              </w:rPr>
            </w:pPr>
            <w:r>
              <w:rPr>
                <w:rFonts w:hint="eastAsia"/>
                <w:sz w:val="24"/>
              </w:rPr>
              <w:t>户主姓名：联系电话：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r>
              <w:rPr>
                <w:rFonts w:hint="eastAsia"/>
                <w:sz w:val="24"/>
              </w:rPr>
              <w:t>代申请人信息</w:t>
            </w:r>
          </w:p>
        </w:tc>
        <w:tc>
          <w:tcPr>
            <w:tcW w:w="1205" w:type="dxa"/>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r>
              <w:rPr>
                <w:rFonts w:hint="eastAsia"/>
                <w:sz w:val="24"/>
              </w:rPr>
              <w:t>姓名</w:t>
            </w:r>
          </w:p>
        </w:tc>
        <w:tc>
          <w:tcPr>
            <w:tcW w:w="3150" w:type="dxa"/>
            <w:gridSpan w:val="5"/>
            <w:tcBorders>
              <w:top w:val="single" w:color="000000" w:sz="4" w:space="0"/>
              <w:left w:val="single" w:color="000000" w:sz="4" w:space="0"/>
              <w:bottom w:val="single" w:color="auto" w:sz="4" w:space="0"/>
              <w:right w:val="single" w:color="000000" w:sz="4" w:space="0"/>
            </w:tcBorders>
            <w:noWrap w:val="0"/>
            <w:vAlign w:val="center"/>
          </w:tcPr>
          <w:p>
            <w:pPr>
              <w:rPr>
                <w:sz w:val="24"/>
              </w:rPr>
            </w:pPr>
          </w:p>
        </w:tc>
        <w:tc>
          <w:tcPr>
            <w:tcW w:w="1469"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r>
              <w:rPr>
                <w:rFonts w:hint="eastAsia"/>
                <w:sz w:val="24"/>
              </w:rPr>
              <w:t>与照护对象关系</w:t>
            </w:r>
          </w:p>
        </w:tc>
        <w:tc>
          <w:tcPr>
            <w:tcW w:w="1995"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p>
        </w:tc>
        <w:tc>
          <w:tcPr>
            <w:tcW w:w="1205" w:type="dxa"/>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r>
              <w:rPr>
                <w:rFonts w:hint="eastAsia"/>
                <w:sz w:val="24"/>
              </w:rPr>
              <w:t>身份证号</w:t>
            </w:r>
          </w:p>
        </w:tc>
        <w:tc>
          <w:tcPr>
            <w:tcW w:w="3150" w:type="dxa"/>
            <w:gridSpan w:val="5"/>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p>
        </w:tc>
        <w:tc>
          <w:tcPr>
            <w:tcW w:w="1469"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r>
              <w:rPr>
                <w:rFonts w:hint="eastAsia"/>
                <w:sz w:val="24"/>
              </w:rPr>
              <w:t>联系电话</w:t>
            </w:r>
          </w:p>
        </w:tc>
        <w:tc>
          <w:tcPr>
            <w:tcW w:w="1995"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1241"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Times New Roman" w:hAnsi="Times New Roman" w:eastAsia="仿宋_GB2312"/>
                <w:sz w:val="24"/>
              </w:rPr>
            </w:pPr>
            <w:r>
              <w:rPr>
                <w:rFonts w:hint="eastAsia"/>
                <w:sz w:val="24"/>
              </w:rPr>
              <w:t>不能达到的失能评定六项指标</w:t>
            </w:r>
          </w:p>
        </w:tc>
        <w:tc>
          <w:tcPr>
            <w:tcW w:w="1486" w:type="dxa"/>
            <w:gridSpan w:val="3"/>
            <w:tcBorders>
              <w:top w:val="single" w:color="auto" w:sz="4" w:space="0"/>
              <w:left w:val="single" w:color="auto" w:sz="4" w:space="0"/>
              <w:bottom w:val="single" w:color="auto" w:sz="4" w:space="0"/>
              <w:right w:val="nil"/>
            </w:tcBorders>
            <w:noWrap w:val="0"/>
            <w:vAlign w:val="center"/>
          </w:tcPr>
          <w:p>
            <w:pPr>
              <w:jc w:val="left"/>
              <w:rPr>
                <w:rFonts w:ascii="Times New Roman" w:hAnsi="Times New Roman" w:eastAsia="仿宋_GB2312"/>
                <w:sz w:val="24"/>
              </w:rPr>
            </w:pPr>
            <w:r>
              <w:rPr>
                <w:rFonts w:hint="eastAsia"/>
                <w:sz w:val="24"/>
              </w:rPr>
              <w:t>自主吃饭</w:t>
            </w:r>
            <w:r>
              <w:rPr>
                <w:sz w:val="24"/>
              </w:rPr>
              <w:t>□</w:t>
            </w:r>
          </w:p>
        </w:tc>
        <w:tc>
          <w:tcPr>
            <w:tcW w:w="6333" w:type="dxa"/>
            <w:gridSpan w:val="7"/>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rPr>
            </w:pPr>
            <w:r>
              <w:rPr>
                <w:rFonts w:hint="eastAsia"/>
                <w:sz w:val="24"/>
              </w:rPr>
              <w:t>穿衣</w:t>
            </w:r>
            <w:r>
              <w:rPr>
                <w:sz w:val="24"/>
              </w:rPr>
              <w:t>□</w:t>
            </w:r>
            <w:r>
              <w:rPr>
                <w:rFonts w:hint="eastAsia"/>
                <w:sz w:val="24"/>
              </w:rPr>
              <w:t xml:space="preserve">   上下床</w:t>
            </w:r>
            <w:r>
              <w:rPr>
                <w:sz w:val="24"/>
              </w:rPr>
              <w:t>□</w:t>
            </w:r>
            <w:r>
              <w:rPr>
                <w:rFonts w:hint="eastAsia"/>
                <w:sz w:val="24"/>
              </w:rPr>
              <w:t xml:space="preserve">   如厕</w:t>
            </w:r>
            <w:r>
              <w:rPr>
                <w:sz w:val="24"/>
              </w:rPr>
              <w:t>□</w:t>
            </w:r>
            <w:r>
              <w:rPr>
                <w:rFonts w:hint="eastAsia"/>
                <w:sz w:val="24"/>
              </w:rPr>
              <w:t xml:space="preserve">   室内行走</w:t>
            </w:r>
            <w:r>
              <w:rPr>
                <w:sz w:val="24"/>
              </w:rPr>
              <w:t>□</w:t>
            </w:r>
            <w:r>
              <w:rPr>
                <w:rFonts w:hint="eastAsia"/>
                <w:sz w:val="24"/>
              </w:rPr>
              <w:t xml:space="preserve">   洗澡</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41"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服务形式</w:t>
            </w:r>
          </w:p>
          <w:p>
            <w:pPr>
              <w:jc w:val="center"/>
              <w:rPr>
                <w:sz w:val="24"/>
              </w:rPr>
            </w:pPr>
            <w:r>
              <w:rPr>
                <w:rFonts w:hint="eastAsia"/>
                <w:sz w:val="24"/>
              </w:rPr>
              <w:t>（任选一种）</w:t>
            </w:r>
          </w:p>
        </w:tc>
        <w:tc>
          <w:tcPr>
            <w:tcW w:w="1486" w:type="dxa"/>
            <w:gridSpan w:val="3"/>
            <w:tcBorders>
              <w:top w:val="single" w:color="auto" w:sz="4" w:space="0"/>
              <w:left w:val="single" w:color="auto" w:sz="4" w:space="0"/>
              <w:bottom w:val="single" w:color="auto" w:sz="4" w:space="0"/>
              <w:right w:val="nil"/>
            </w:tcBorders>
            <w:noWrap w:val="0"/>
            <w:vAlign w:val="center"/>
          </w:tcPr>
          <w:p>
            <w:pPr>
              <w:jc w:val="left"/>
              <w:rPr>
                <w:rFonts w:ascii="Times New Roman" w:hAnsi="Times New Roman" w:eastAsia="仿宋_GB2312"/>
                <w:sz w:val="24"/>
              </w:rPr>
            </w:pPr>
            <w:r>
              <w:rPr>
                <w:sz w:val="24"/>
              </w:rPr>
              <w:t>□</w:t>
            </w:r>
            <w:r>
              <w:rPr>
                <w:rFonts w:hint="eastAsia"/>
                <w:sz w:val="24"/>
              </w:rPr>
              <w:t>居家照护</w:t>
            </w:r>
          </w:p>
        </w:tc>
        <w:tc>
          <w:tcPr>
            <w:tcW w:w="6333" w:type="dxa"/>
            <w:gridSpan w:val="7"/>
            <w:tcBorders>
              <w:top w:val="single" w:color="auto" w:sz="4" w:space="0"/>
              <w:left w:val="nil"/>
              <w:bottom w:val="single" w:color="auto" w:sz="4" w:space="0"/>
              <w:right w:val="single" w:color="auto" w:sz="4" w:space="0"/>
            </w:tcBorders>
            <w:noWrap w:val="0"/>
            <w:vAlign w:val="center"/>
          </w:tcPr>
          <w:p>
            <w:pPr>
              <w:jc w:val="left"/>
              <w:rPr>
                <w:rFonts w:eastAsia="仿宋_GB2312"/>
                <w:sz w:val="24"/>
              </w:rPr>
            </w:pPr>
            <w:r>
              <w:rPr>
                <w:rFonts w:hint="eastAsia"/>
                <w:sz w:val="24"/>
              </w:rPr>
              <w:t>照护人姓名：与被照护人关系：</w:t>
            </w:r>
          </w:p>
          <w:p>
            <w:pPr>
              <w:jc w:val="left"/>
              <w:rPr>
                <w:rFonts w:ascii="Times New Roman" w:hAnsi="Times New Roman" w:eastAsia="仿宋_GB2312"/>
                <w:sz w:val="24"/>
              </w:rPr>
            </w:pPr>
            <w:r>
              <w:rPr>
                <w:rFonts w:hint="eastAsia"/>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1241" w:type="dxa"/>
            <w:vMerge w:val="continue"/>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p>
        </w:tc>
        <w:tc>
          <w:tcPr>
            <w:tcW w:w="1486" w:type="dxa"/>
            <w:gridSpan w:val="3"/>
            <w:tcBorders>
              <w:top w:val="single" w:color="auto" w:sz="4" w:space="0"/>
              <w:left w:val="single" w:color="auto" w:sz="4" w:space="0"/>
              <w:bottom w:val="single" w:color="auto" w:sz="4" w:space="0"/>
              <w:right w:val="nil"/>
            </w:tcBorders>
            <w:noWrap w:val="0"/>
            <w:vAlign w:val="center"/>
          </w:tcPr>
          <w:p>
            <w:pPr>
              <w:jc w:val="left"/>
              <w:rPr>
                <w:rFonts w:ascii="Times New Roman" w:hAnsi="Times New Roman" w:eastAsia="仿宋_GB2312"/>
                <w:sz w:val="24"/>
              </w:rPr>
            </w:pPr>
            <w:r>
              <w:rPr>
                <w:sz w:val="24"/>
              </w:rPr>
              <w:t>□</w:t>
            </w:r>
            <w:r>
              <w:rPr>
                <w:rFonts w:hint="eastAsia"/>
                <w:sz w:val="24"/>
              </w:rPr>
              <w:t>日间照料</w:t>
            </w:r>
          </w:p>
        </w:tc>
        <w:tc>
          <w:tcPr>
            <w:tcW w:w="6333" w:type="dxa"/>
            <w:gridSpan w:val="7"/>
            <w:tcBorders>
              <w:top w:val="single" w:color="auto" w:sz="4" w:space="0"/>
              <w:left w:val="nil"/>
              <w:bottom w:val="single" w:color="auto" w:sz="4" w:space="0"/>
              <w:right w:val="single" w:color="auto" w:sz="4" w:space="0"/>
            </w:tcBorders>
            <w:noWrap w:val="0"/>
            <w:vAlign w:val="center"/>
          </w:tcPr>
          <w:p>
            <w:pPr>
              <w:jc w:val="left"/>
              <w:rPr>
                <w:sz w:val="24"/>
              </w:rPr>
            </w:pPr>
            <w:r>
              <w:rPr>
                <w:rFonts w:hint="eastAsia"/>
                <w:sz w:val="24"/>
              </w:rPr>
              <w:t>照护机构名称：</w:t>
            </w:r>
          </w:p>
          <w:p>
            <w:pPr>
              <w:jc w:val="left"/>
              <w:rPr>
                <w:rFonts w:ascii="Times New Roman" w:hAnsi="Times New Roman" w:eastAsia="仿宋_GB2312"/>
                <w:sz w:val="24"/>
              </w:rPr>
            </w:pPr>
            <w:r>
              <w:rPr>
                <w:rFonts w:hint="eastAsia"/>
                <w:sz w:val="24"/>
              </w:rPr>
              <w:t>联系人：联系电话：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1241" w:type="dxa"/>
            <w:vMerge w:val="continue"/>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p>
        </w:tc>
        <w:tc>
          <w:tcPr>
            <w:tcW w:w="1486" w:type="dxa"/>
            <w:gridSpan w:val="3"/>
            <w:tcBorders>
              <w:top w:val="single" w:color="auto" w:sz="4" w:space="0"/>
              <w:left w:val="single" w:color="auto" w:sz="4" w:space="0"/>
              <w:bottom w:val="single" w:color="auto" w:sz="4" w:space="0"/>
              <w:right w:val="nil"/>
            </w:tcBorders>
            <w:noWrap w:val="0"/>
            <w:vAlign w:val="center"/>
          </w:tcPr>
          <w:p>
            <w:pPr>
              <w:jc w:val="left"/>
              <w:rPr>
                <w:rFonts w:ascii="Times New Roman" w:hAnsi="Times New Roman" w:eastAsia="仿宋_GB2312"/>
                <w:sz w:val="24"/>
              </w:rPr>
            </w:pPr>
            <w:r>
              <w:rPr>
                <w:sz w:val="24"/>
              </w:rPr>
              <w:t>□</w:t>
            </w:r>
            <w:r>
              <w:rPr>
                <w:rFonts w:hint="eastAsia"/>
                <w:sz w:val="24"/>
              </w:rPr>
              <w:t>集中托养</w:t>
            </w:r>
          </w:p>
        </w:tc>
        <w:tc>
          <w:tcPr>
            <w:tcW w:w="6333" w:type="dxa"/>
            <w:gridSpan w:val="7"/>
            <w:tcBorders>
              <w:top w:val="single" w:color="auto" w:sz="4" w:space="0"/>
              <w:left w:val="nil"/>
              <w:bottom w:val="single" w:color="auto" w:sz="4" w:space="0"/>
              <w:right w:val="single" w:color="auto" w:sz="4" w:space="0"/>
            </w:tcBorders>
            <w:noWrap w:val="0"/>
            <w:vAlign w:val="center"/>
          </w:tcPr>
          <w:p>
            <w:pPr>
              <w:jc w:val="left"/>
              <w:rPr>
                <w:rFonts w:eastAsia="仿宋_GB2312"/>
                <w:sz w:val="24"/>
              </w:rPr>
            </w:pPr>
            <w:r>
              <w:rPr>
                <w:rFonts w:hint="eastAsia"/>
                <w:sz w:val="24"/>
              </w:rPr>
              <w:t>托养机构名称：</w:t>
            </w:r>
          </w:p>
          <w:p>
            <w:pPr>
              <w:jc w:val="left"/>
              <w:rPr>
                <w:rFonts w:ascii="Times New Roman" w:hAnsi="Times New Roman" w:eastAsia="仿宋_GB2312"/>
                <w:sz w:val="24"/>
              </w:rPr>
            </w:pPr>
            <w:r>
              <w:rPr>
                <w:rFonts w:hint="eastAsia"/>
                <w:sz w:val="24"/>
              </w:rPr>
              <w:t>联系人：联系电话：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照护人或托养机构银行卡</w:t>
            </w:r>
          </w:p>
          <w:p>
            <w:pPr>
              <w:jc w:val="center"/>
              <w:rPr>
                <w:sz w:val="24"/>
              </w:rPr>
            </w:pPr>
            <w:r>
              <w:rPr>
                <w:rFonts w:hint="eastAsia"/>
                <w:sz w:val="24"/>
              </w:rPr>
              <w:t>信息</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户名：</w:t>
            </w:r>
          </w:p>
          <w:p>
            <w:pPr>
              <w:jc w:val="left"/>
              <w:rPr>
                <w:sz w:val="24"/>
              </w:rPr>
            </w:pPr>
            <w:r>
              <w:rPr>
                <w:rFonts w:hint="eastAsia"/>
                <w:sz w:val="24"/>
              </w:rPr>
              <w:t>开户行：</w:t>
            </w:r>
          </w:p>
          <w:p>
            <w:pPr>
              <w:jc w:val="left"/>
              <w:rPr>
                <w:sz w:val="24"/>
              </w:rPr>
            </w:pPr>
            <w:r>
              <w:rPr>
                <w:rFonts w:hint="eastAsia"/>
                <w:sz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申请人</w:t>
            </w:r>
          </w:p>
          <w:p>
            <w:pPr>
              <w:jc w:val="center"/>
              <w:rPr>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jc w:val="left"/>
              <w:rPr>
                <w:sz w:val="24"/>
              </w:rPr>
            </w:pPr>
            <w:r>
              <w:rPr>
                <w:rFonts w:hint="eastAsia"/>
                <w:sz w:val="24"/>
              </w:rPr>
              <w:t>本申请人自愿提出申请，本申请人（监护人或代申请人）了解困难重度失能残疾人照护和托养政策，所填写内容真实有效，如有虚假，愿承担相应责任。</w:t>
            </w:r>
          </w:p>
          <w:p>
            <w:pPr>
              <w:jc w:val="left"/>
              <w:rPr>
                <w:sz w:val="24"/>
              </w:rPr>
            </w:pPr>
          </w:p>
          <w:p>
            <w:pPr>
              <w:jc w:val="left"/>
              <w:rPr>
                <w:sz w:val="24"/>
              </w:rPr>
            </w:pPr>
            <w:r>
              <w:rPr>
                <w:rFonts w:hint="eastAsia"/>
                <w:sz w:val="24"/>
              </w:rPr>
              <w:t>申请人（监护人）签名：代申请人签名：</w:t>
            </w:r>
          </w:p>
          <w:p>
            <w:pPr>
              <w:jc w:val="left"/>
              <w:rPr>
                <w:sz w:val="24"/>
              </w:rPr>
            </w:pPr>
            <w:r>
              <w:rPr>
                <w:rFonts w:hint="eastAsia"/>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村（居）</w:t>
            </w:r>
          </w:p>
          <w:p>
            <w:pPr>
              <w:jc w:val="center"/>
              <w:rPr>
                <w:sz w:val="24"/>
              </w:rPr>
            </w:pPr>
            <w:r>
              <w:rPr>
                <w:rFonts w:hint="eastAsia"/>
                <w:sz w:val="24"/>
              </w:rPr>
              <w:t>委会</w:t>
            </w:r>
          </w:p>
          <w:p>
            <w:pPr>
              <w:jc w:val="center"/>
              <w:rPr>
                <w:sz w:val="24"/>
              </w:rPr>
            </w:pPr>
            <w:r>
              <w:rPr>
                <w:rFonts w:hint="eastAsia"/>
                <w:sz w:val="24"/>
              </w:rPr>
              <w:t>初核</w:t>
            </w:r>
          </w:p>
          <w:p>
            <w:pPr>
              <w:jc w:val="center"/>
              <w:rPr>
                <w:rFonts w:ascii="Times New Roman" w:hAnsi="Times New Roman" w:eastAsia="仿宋_GB2312"/>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jc w:val="left"/>
              <w:rPr>
                <w:sz w:val="24"/>
              </w:rPr>
            </w:pPr>
            <w:r>
              <w:rPr>
                <w:rFonts w:hint="eastAsia"/>
                <w:sz w:val="24"/>
              </w:rPr>
              <w:t>以上填写内容经调查，情况属实，手续齐全，同意申报。</w:t>
            </w:r>
          </w:p>
          <w:p>
            <w:pPr>
              <w:jc w:val="left"/>
              <w:rPr>
                <w:sz w:val="24"/>
              </w:rPr>
            </w:pPr>
          </w:p>
          <w:p>
            <w:pPr>
              <w:jc w:val="left"/>
              <w:rPr>
                <w:sz w:val="24"/>
              </w:rPr>
            </w:pPr>
            <w:r>
              <w:rPr>
                <w:rFonts w:hint="eastAsia"/>
                <w:sz w:val="24"/>
              </w:rPr>
              <w:t>负责人签名：村（居）委会盖章：</w:t>
            </w:r>
          </w:p>
          <w:p>
            <w:pPr>
              <w:jc w:val="left"/>
              <w:rPr>
                <w:rFonts w:ascii="Times New Roman" w:hAnsi="Times New Roman" w:eastAsia="仿宋_GB2312"/>
                <w:sz w:val="24"/>
              </w:rPr>
            </w:pPr>
            <w:r>
              <w:rPr>
                <w:rFonts w:hint="eastAsia"/>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ind w:left="158" w:leftChars="75"/>
              <w:rPr>
                <w:sz w:val="24"/>
              </w:rPr>
            </w:pPr>
            <w:r>
              <w:rPr>
                <w:rFonts w:hint="eastAsia"/>
                <w:sz w:val="24"/>
              </w:rPr>
              <w:t>乡镇</w:t>
            </w:r>
          </w:p>
          <w:p>
            <w:pPr>
              <w:ind w:left="240" w:hanging="240" w:hangingChars="100"/>
              <w:rPr>
                <w:sz w:val="24"/>
              </w:rPr>
            </w:pPr>
            <w:r>
              <w:rPr>
                <w:rFonts w:hint="eastAsia"/>
                <w:sz w:val="24"/>
              </w:rPr>
              <w:t>（街道）初审</w:t>
            </w:r>
          </w:p>
          <w:p>
            <w:pPr>
              <w:jc w:val="center"/>
              <w:rPr>
                <w:rFonts w:ascii="Times New Roman" w:hAnsi="Times New Roman" w:eastAsia="仿宋_GB2312"/>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sz w:val="24"/>
              </w:rPr>
            </w:pPr>
            <w:r>
              <w:rPr>
                <w:rFonts w:hint="eastAsia"/>
                <w:sz w:val="24"/>
              </w:rPr>
              <w:t>经审核，申请人的申请材料属实，手续齐全，同意申报。</w:t>
            </w:r>
          </w:p>
          <w:p>
            <w:pPr>
              <w:ind w:left="5520" w:hanging="5520" w:hangingChars="2300"/>
              <w:jc w:val="left"/>
              <w:rPr>
                <w:sz w:val="24"/>
              </w:rPr>
            </w:pPr>
          </w:p>
          <w:p>
            <w:pPr>
              <w:ind w:left="5520" w:hanging="5520" w:hangingChars="2300"/>
              <w:jc w:val="left"/>
              <w:rPr>
                <w:rFonts w:ascii="Times New Roman" w:hAnsi="Times New Roman" w:eastAsia="仿宋_GB2312"/>
                <w:sz w:val="24"/>
              </w:rPr>
            </w:pPr>
            <w:r>
              <w:rPr>
                <w:rFonts w:hint="eastAsia"/>
                <w:sz w:val="24"/>
              </w:rPr>
              <w:t>负责人签名：单位盖章：年月日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县级</w:t>
            </w:r>
          </w:p>
          <w:p>
            <w:pPr>
              <w:jc w:val="center"/>
              <w:rPr>
                <w:sz w:val="24"/>
              </w:rPr>
            </w:pPr>
            <w:r>
              <w:rPr>
                <w:rFonts w:hint="eastAsia"/>
                <w:sz w:val="24"/>
              </w:rPr>
              <w:t>残联</w:t>
            </w:r>
          </w:p>
          <w:p>
            <w:pPr>
              <w:jc w:val="center"/>
              <w:rPr>
                <w:sz w:val="24"/>
              </w:rPr>
            </w:pPr>
            <w:r>
              <w:rPr>
                <w:rFonts w:hint="eastAsia"/>
                <w:sz w:val="24"/>
              </w:rPr>
              <w:t>审核</w:t>
            </w:r>
          </w:p>
          <w:p>
            <w:pPr>
              <w:jc w:val="center"/>
              <w:rPr>
                <w:rFonts w:ascii="Times New Roman" w:hAnsi="Times New Roman" w:eastAsia="仿宋_GB2312"/>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eastAsia="仿宋_GB2312"/>
                <w:sz w:val="24"/>
              </w:rPr>
            </w:pPr>
            <w:r>
              <w:rPr>
                <w:rFonts w:hint="eastAsia"/>
                <w:sz w:val="24"/>
              </w:rPr>
              <w:t>经审核，申请人的申请材料属实，手续齐全，同意申报。</w:t>
            </w:r>
          </w:p>
          <w:p>
            <w:pPr>
              <w:jc w:val="left"/>
              <w:rPr>
                <w:sz w:val="24"/>
              </w:rPr>
            </w:pPr>
          </w:p>
          <w:p>
            <w:pPr>
              <w:jc w:val="left"/>
              <w:rPr>
                <w:sz w:val="24"/>
              </w:rPr>
            </w:pPr>
            <w:r>
              <w:rPr>
                <w:rFonts w:hint="eastAsia"/>
                <w:sz w:val="24"/>
              </w:rPr>
              <w:t>负责人签名：单位盖章：</w:t>
            </w:r>
          </w:p>
          <w:p>
            <w:pPr>
              <w:jc w:val="left"/>
              <w:rPr>
                <w:rFonts w:ascii="Times New Roman" w:hAnsi="Times New Roman" w:eastAsia="仿宋_GB2312"/>
                <w:sz w:val="24"/>
              </w:rPr>
            </w:pPr>
            <w:r>
              <w:rPr>
                <w:rFonts w:hint="eastAsia"/>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1241" w:type="dxa"/>
            <w:tcBorders>
              <w:top w:val="single" w:color="000000" w:sz="4" w:space="0"/>
              <w:left w:val="single" w:color="auto" w:sz="4" w:space="0"/>
              <w:bottom w:val="single" w:color="000000" w:sz="4" w:space="0"/>
              <w:right w:val="single" w:color="auto" w:sz="4" w:space="0"/>
            </w:tcBorders>
            <w:noWrap w:val="0"/>
            <w:vAlign w:val="center"/>
          </w:tcPr>
          <w:p>
            <w:pPr>
              <w:jc w:val="center"/>
              <w:rPr>
                <w:sz w:val="24"/>
              </w:rPr>
            </w:pPr>
            <w:r>
              <w:rPr>
                <w:rFonts w:hint="eastAsia"/>
                <w:sz w:val="24"/>
              </w:rPr>
              <w:t>县级</w:t>
            </w:r>
          </w:p>
          <w:p>
            <w:pPr>
              <w:jc w:val="center"/>
              <w:rPr>
                <w:rFonts w:eastAsia="仿宋_GB2312"/>
                <w:sz w:val="24"/>
              </w:rPr>
            </w:pPr>
            <w:r>
              <w:rPr>
                <w:rFonts w:hint="eastAsia"/>
                <w:sz w:val="24"/>
              </w:rPr>
              <w:t>乡村振兴部门</w:t>
            </w:r>
          </w:p>
          <w:p>
            <w:pPr>
              <w:jc w:val="center"/>
              <w:rPr>
                <w:sz w:val="24"/>
              </w:rPr>
            </w:pPr>
            <w:r>
              <w:rPr>
                <w:rFonts w:hint="eastAsia"/>
                <w:sz w:val="24"/>
              </w:rPr>
              <w:t>核定</w:t>
            </w:r>
          </w:p>
          <w:p>
            <w:pPr>
              <w:jc w:val="center"/>
              <w:rPr>
                <w:rFonts w:ascii="Times New Roman" w:hAnsi="Times New Roman" w:eastAsia="仿宋_GB2312"/>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jc w:val="left"/>
              <w:rPr>
                <w:sz w:val="24"/>
              </w:rPr>
            </w:pPr>
            <w:r>
              <w:rPr>
                <w:rFonts w:hint="eastAsia"/>
                <w:sz w:val="24"/>
              </w:rPr>
              <w:t>经核定，申请人（符合、不符合）照护和托养条件。</w:t>
            </w:r>
          </w:p>
          <w:p>
            <w:pPr>
              <w:jc w:val="left"/>
              <w:rPr>
                <w:sz w:val="24"/>
              </w:rPr>
            </w:pPr>
          </w:p>
          <w:p>
            <w:pPr>
              <w:jc w:val="left"/>
              <w:rPr>
                <w:sz w:val="24"/>
              </w:rPr>
            </w:pPr>
            <w:r>
              <w:rPr>
                <w:rFonts w:hint="eastAsia"/>
                <w:sz w:val="24"/>
              </w:rPr>
              <w:t>负责人签名：单位盖章：</w:t>
            </w:r>
            <w:bookmarkStart w:id="0" w:name="_GoBack"/>
            <w:bookmarkEnd w:id="0"/>
          </w:p>
          <w:p>
            <w:pPr>
              <w:jc w:val="left"/>
              <w:rPr>
                <w:rFonts w:ascii="Times New Roman" w:hAnsi="Times New Roman" w:eastAsia="仿宋_GB2312"/>
                <w:sz w:val="24"/>
              </w:rPr>
            </w:pPr>
            <w:r>
              <w:rPr>
                <w:rFonts w:hint="eastAsia"/>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5" w:hRule="atLeast"/>
          <w:jc w:val="center"/>
        </w:trPr>
        <w:tc>
          <w:tcPr>
            <w:tcW w:w="1241" w:type="dxa"/>
            <w:tcBorders>
              <w:top w:val="single" w:color="000000"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县级</w:t>
            </w:r>
          </w:p>
          <w:p>
            <w:pPr>
              <w:jc w:val="center"/>
              <w:rPr>
                <w:rFonts w:eastAsia="仿宋_GB2312"/>
                <w:sz w:val="24"/>
              </w:rPr>
            </w:pPr>
            <w:r>
              <w:rPr>
                <w:rFonts w:hint="eastAsia"/>
                <w:sz w:val="24"/>
              </w:rPr>
              <w:t>民政</w:t>
            </w:r>
          </w:p>
          <w:p>
            <w:pPr>
              <w:jc w:val="center"/>
              <w:rPr>
                <w:sz w:val="24"/>
              </w:rPr>
            </w:pPr>
            <w:r>
              <w:rPr>
                <w:rFonts w:hint="eastAsia"/>
                <w:sz w:val="24"/>
              </w:rPr>
              <w:t>部门</w:t>
            </w:r>
          </w:p>
          <w:p>
            <w:pPr>
              <w:jc w:val="center"/>
              <w:rPr>
                <w:sz w:val="24"/>
              </w:rPr>
            </w:pPr>
            <w:r>
              <w:rPr>
                <w:rFonts w:hint="eastAsia"/>
                <w:sz w:val="24"/>
              </w:rPr>
              <w:t>审批</w:t>
            </w:r>
          </w:p>
          <w:p>
            <w:pPr>
              <w:jc w:val="center"/>
              <w:rPr>
                <w:rFonts w:ascii="Times New Roman" w:hAnsi="Times New Roman" w:eastAsia="仿宋_GB2312"/>
                <w:sz w:val="24"/>
              </w:rPr>
            </w:pPr>
            <w:r>
              <w:rPr>
                <w:rFonts w:hint="eastAsia"/>
                <w:sz w:val="24"/>
              </w:rPr>
              <w:t>意见</w:t>
            </w:r>
          </w:p>
        </w:tc>
        <w:tc>
          <w:tcPr>
            <w:tcW w:w="7819" w:type="dxa"/>
            <w:gridSpan w:val="10"/>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eastAsia="仿宋_GB2312"/>
                <w:sz w:val="24"/>
              </w:rPr>
            </w:pPr>
            <w:r>
              <w:rPr>
                <w:rFonts w:hint="eastAsia"/>
                <w:sz w:val="24"/>
              </w:rPr>
              <w:t>经核定，申请人（符合、不符合）照护和托养条件。</w:t>
            </w:r>
          </w:p>
          <w:p>
            <w:pPr>
              <w:jc w:val="left"/>
              <w:rPr>
                <w:sz w:val="24"/>
              </w:rPr>
            </w:pPr>
          </w:p>
          <w:p>
            <w:pPr>
              <w:jc w:val="left"/>
              <w:rPr>
                <w:sz w:val="24"/>
              </w:rPr>
            </w:pPr>
            <w:r>
              <w:rPr>
                <w:rFonts w:hint="eastAsia"/>
                <w:sz w:val="24"/>
              </w:rPr>
              <w:t>负责人签名：单位盖章：</w:t>
            </w:r>
          </w:p>
          <w:p>
            <w:pPr>
              <w:jc w:val="left"/>
              <w:rPr>
                <w:rFonts w:ascii="Times New Roman" w:hAnsi="Times New Roman" w:eastAsia="仿宋_GB2312"/>
                <w:sz w:val="24"/>
              </w:rPr>
            </w:pPr>
            <w:r>
              <w:rPr>
                <w:rFonts w:hint="eastAsia"/>
                <w:sz w:val="24"/>
              </w:rPr>
              <w:t>年月日</w:t>
            </w:r>
          </w:p>
        </w:tc>
      </w:tr>
    </w:tbl>
    <w:p>
      <w:r>
        <w:rPr>
          <w:rFonts w:hint="eastAsia"/>
          <w:sz w:val="24"/>
        </w:rPr>
        <w:t>备注：本表一式三份，民政、残联、乡村振兴部门各一份。</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21.95pt;width:4.6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OTI0NGFhYmMyY2IzZGVjZWEzOGRhNWM3MTM0NGUifQ=="/>
  </w:docVars>
  <w:rsids>
    <w:rsidRoot w:val="5E080824"/>
    <w:rsid w:val="000422A3"/>
    <w:rsid w:val="001348A7"/>
    <w:rsid w:val="00195460"/>
    <w:rsid w:val="002D4904"/>
    <w:rsid w:val="004146C9"/>
    <w:rsid w:val="0055256E"/>
    <w:rsid w:val="005A700D"/>
    <w:rsid w:val="00792DF5"/>
    <w:rsid w:val="00857187"/>
    <w:rsid w:val="008F0F7B"/>
    <w:rsid w:val="00957881"/>
    <w:rsid w:val="00984162"/>
    <w:rsid w:val="009D41FF"/>
    <w:rsid w:val="00AA7E2C"/>
    <w:rsid w:val="00AC5519"/>
    <w:rsid w:val="00CE1EBB"/>
    <w:rsid w:val="00EA3FF3"/>
    <w:rsid w:val="00F104BF"/>
    <w:rsid w:val="00F57249"/>
    <w:rsid w:val="00F64376"/>
    <w:rsid w:val="00FE2DDB"/>
    <w:rsid w:val="01BA1962"/>
    <w:rsid w:val="03481C1D"/>
    <w:rsid w:val="044468B0"/>
    <w:rsid w:val="050653B9"/>
    <w:rsid w:val="07524F70"/>
    <w:rsid w:val="07C76F7D"/>
    <w:rsid w:val="08876B0D"/>
    <w:rsid w:val="0AF04B25"/>
    <w:rsid w:val="0B4B0BC0"/>
    <w:rsid w:val="0D5E30A2"/>
    <w:rsid w:val="0E6C0F01"/>
    <w:rsid w:val="105A36A4"/>
    <w:rsid w:val="10665047"/>
    <w:rsid w:val="10EA2213"/>
    <w:rsid w:val="11021075"/>
    <w:rsid w:val="12625ED7"/>
    <w:rsid w:val="1345323B"/>
    <w:rsid w:val="19B00EA7"/>
    <w:rsid w:val="1C256F5B"/>
    <w:rsid w:val="1D705348"/>
    <w:rsid w:val="1DC53ABB"/>
    <w:rsid w:val="1F5F0CFC"/>
    <w:rsid w:val="1F851A32"/>
    <w:rsid w:val="2119408E"/>
    <w:rsid w:val="217A696B"/>
    <w:rsid w:val="21FD0C30"/>
    <w:rsid w:val="22D44A1B"/>
    <w:rsid w:val="239E5C97"/>
    <w:rsid w:val="261E3AE0"/>
    <w:rsid w:val="26C54E57"/>
    <w:rsid w:val="29052C04"/>
    <w:rsid w:val="29993AF2"/>
    <w:rsid w:val="299F4A11"/>
    <w:rsid w:val="2AD165D7"/>
    <w:rsid w:val="2C505019"/>
    <w:rsid w:val="2CBF69DB"/>
    <w:rsid w:val="2CEA27DB"/>
    <w:rsid w:val="2D7A779B"/>
    <w:rsid w:val="2E1F6F50"/>
    <w:rsid w:val="2E6523F8"/>
    <w:rsid w:val="30B62630"/>
    <w:rsid w:val="30F27C1A"/>
    <w:rsid w:val="33060EE2"/>
    <w:rsid w:val="33851665"/>
    <w:rsid w:val="34F62155"/>
    <w:rsid w:val="35D1387A"/>
    <w:rsid w:val="37A03C39"/>
    <w:rsid w:val="37EFEAE6"/>
    <w:rsid w:val="3857186F"/>
    <w:rsid w:val="392A1BF1"/>
    <w:rsid w:val="3A5F0C5B"/>
    <w:rsid w:val="3A9F1B90"/>
    <w:rsid w:val="3BA66882"/>
    <w:rsid w:val="3C0A5BE4"/>
    <w:rsid w:val="3D5F28FB"/>
    <w:rsid w:val="3EBB7F33"/>
    <w:rsid w:val="3EEA57B6"/>
    <w:rsid w:val="40DF6E14"/>
    <w:rsid w:val="41441472"/>
    <w:rsid w:val="41C0096A"/>
    <w:rsid w:val="43014206"/>
    <w:rsid w:val="44A77919"/>
    <w:rsid w:val="44CB0B05"/>
    <w:rsid w:val="451A02C0"/>
    <w:rsid w:val="4637588B"/>
    <w:rsid w:val="46682C20"/>
    <w:rsid w:val="47D923BD"/>
    <w:rsid w:val="47DD7BE7"/>
    <w:rsid w:val="498A1C7A"/>
    <w:rsid w:val="4A357D68"/>
    <w:rsid w:val="4BB74194"/>
    <w:rsid w:val="4C7A2C5F"/>
    <w:rsid w:val="4CFF34F9"/>
    <w:rsid w:val="4D5A09ED"/>
    <w:rsid w:val="4D7262BF"/>
    <w:rsid w:val="4E1B4533"/>
    <w:rsid w:val="50DE41E9"/>
    <w:rsid w:val="51640C52"/>
    <w:rsid w:val="51681F24"/>
    <w:rsid w:val="518D2F75"/>
    <w:rsid w:val="53E0428E"/>
    <w:rsid w:val="545746A4"/>
    <w:rsid w:val="54CC6EAF"/>
    <w:rsid w:val="54DF34F7"/>
    <w:rsid w:val="560B1F8D"/>
    <w:rsid w:val="5647088E"/>
    <w:rsid w:val="577B1697"/>
    <w:rsid w:val="58FA5756"/>
    <w:rsid w:val="5A345068"/>
    <w:rsid w:val="5B272C59"/>
    <w:rsid w:val="5C063D09"/>
    <w:rsid w:val="5DC506F6"/>
    <w:rsid w:val="5E080824"/>
    <w:rsid w:val="5F241D0D"/>
    <w:rsid w:val="60EE7A46"/>
    <w:rsid w:val="66B52AE8"/>
    <w:rsid w:val="67174054"/>
    <w:rsid w:val="6B0A0F16"/>
    <w:rsid w:val="6C877683"/>
    <w:rsid w:val="6D637928"/>
    <w:rsid w:val="6DC55123"/>
    <w:rsid w:val="6E7B6E4B"/>
    <w:rsid w:val="6ECC0BAA"/>
    <w:rsid w:val="70561CC7"/>
    <w:rsid w:val="72743431"/>
    <w:rsid w:val="727471FD"/>
    <w:rsid w:val="728F66ED"/>
    <w:rsid w:val="72B82D9A"/>
    <w:rsid w:val="72D65439"/>
    <w:rsid w:val="72FC56B6"/>
    <w:rsid w:val="7341795D"/>
    <w:rsid w:val="73F971EA"/>
    <w:rsid w:val="768B4247"/>
    <w:rsid w:val="775F458C"/>
    <w:rsid w:val="78677C59"/>
    <w:rsid w:val="7B7B7E85"/>
    <w:rsid w:val="7C8C4263"/>
    <w:rsid w:val="7CA71670"/>
    <w:rsid w:val="7CEC389A"/>
    <w:rsid w:val="7D0E7B1A"/>
    <w:rsid w:val="7DAC2FF4"/>
    <w:rsid w:val="7EC81308"/>
    <w:rsid w:val="7EF7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108"/>
      <w:szCs w:val="24"/>
      <w:lang w:val="en-US" w:eastAsia="zh-CN" w:bidi="ar"/>
    </w:r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qFormat/>
    <w:uiPriority w:val="0"/>
    <w:rPr>
      <w:rFonts w:ascii="Times New Roman" w:hAnsi="Times New Roman" w:eastAsia="宋体" w:cs="Times New Roman"/>
      <w:b/>
      <w:bCs/>
      <w:color w:val="555555"/>
      <w:sz w:val="21"/>
      <w:szCs w:val="21"/>
      <w:bdr w:val="single" w:color="CCCCCC" w:sz="6" w:space="0"/>
      <w:shd w:val="clear" w:color="auto" w:fill="FFFFFF"/>
    </w:rPr>
  </w:style>
  <w:style w:type="character" w:styleId="9">
    <w:name w:val="FollowedHyperlink"/>
    <w:qFormat/>
    <w:uiPriority w:val="0"/>
    <w:rPr>
      <w:rFonts w:ascii="Times New Roman" w:hAnsi="Times New Roman" w:eastAsia="宋体" w:cs="Times New Roman"/>
      <w:color w:val="000000"/>
      <w:sz w:val="24"/>
      <w:szCs w:val="24"/>
      <w:u w:val="none"/>
    </w:rPr>
  </w:style>
  <w:style w:type="character" w:styleId="10">
    <w:name w:val="HTML Definition"/>
    <w:qFormat/>
    <w:uiPriority w:val="0"/>
    <w:rPr>
      <w:rFonts w:ascii="Times New Roman" w:hAnsi="Times New Roman" w:eastAsia="宋体" w:cs="Times New Roman"/>
      <w:i/>
      <w:iCs/>
    </w:rPr>
  </w:style>
  <w:style w:type="character" w:styleId="11">
    <w:name w:val="Hyperlink"/>
    <w:qFormat/>
    <w:uiPriority w:val="0"/>
    <w:rPr>
      <w:rFonts w:ascii="Times New Roman" w:hAnsi="Times New Roman" w:eastAsia="宋体" w:cs="Times New Roman"/>
      <w:color w:val="000000"/>
      <w:sz w:val="24"/>
      <w:szCs w:val="24"/>
      <w:u w:val="none"/>
    </w:rPr>
  </w:style>
  <w:style w:type="character" w:styleId="12">
    <w:name w:val="HTML Code"/>
    <w:qFormat/>
    <w:uiPriority w:val="0"/>
    <w:rPr>
      <w:rFonts w:ascii="Consolas" w:hAnsi="Consolas" w:eastAsia="Consolas" w:cs="Consolas"/>
      <w:color w:val="C7254E"/>
      <w:sz w:val="21"/>
      <w:szCs w:val="21"/>
      <w:shd w:val="clear" w:color="auto" w:fill="F9F2F4"/>
    </w:rPr>
  </w:style>
  <w:style w:type="character" w:styleId="13">
    <w:name w:val="HTML Keyboard"/>
    <w:qFormat/>
    <w:uiPriority w:val="0"/>
    <w:rPr>
      <w:rFonts w:hint="default" w:ascii="Consolas" w:hAnsi="Consolas" w:eastAsia="Consolas" w:cs="Consolas"/>
      <w:color w:val="FFFFFF"/>
      <w:sz w:val="21"/>
      <w:szCs w:val="21"/>
      <w:shd w:val="clear" w:color="auto" w:fill="333333"/>
    </w:rPr>
  </w:style>
  <w:style w:type="character" w:styleId="14">
    <w:name w:val="HTML Sample"/>
    <w:qFormat/>
    <w:uiPriority w:val="0"/>
    <w:rPr>
      <w:rFonts w:hint="default" w:ascii="Consolas" w:hAnsi="Consolas" w:eastAsia="Consolas" w:cs="Consolas"/>
      <w:sz w:val="21"/>
      <w:szCs w:val="21"/>
    </w:rPr>
  </w:style>
  <w:style w:type="character" w:customStyle="1" w:styleId="15">
    <w:name w:val=" Char Char1"/>
    <w:link w:val="3"/>
    <w:qFormat/>
    <w:uiPriority w:val="0"/>
    <w:rPr>
      <w:rFonts w:ascii="Times New Roman" w:hAnsi="Times New Roman" w:eastAsia="宋体" w:cs="Times New Roman"/>
      <w:sz w:val="18"/>
      <w:szCs w:val="18"/>
    </w:rPr>
  </w:style>
  <w:style w:type="character" w:customStyle="1" w:styleId="16">
    <w:name w:val=" Char Char"/>
    <w:link w:val="4"/>
    <w:qFormat/>
    <w:uiPriority w:val="0"/>
    <w:rPr>
      <w:rFonts w:ascii="Times New Roman" w:hAnsi="Times New Roman" w:eastAsia="宋体" w:cs="Times New Roman"/>
      <w:sz w:val="18"/>
      <w:szCs w:val="18"/>
    </w:rPr>
  </w:style>
  <w:style w:type="character" w:customStyle="1" w:styleId="17">
    <w:name w:val="bsharetext"/>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2023-10-26T08:20:00Z</dcterms:created>
  <dc:creator>民政局收文员</dc:creator>
  <cp:lastModifiedBy>民政局收文员</cp:lastModifiedBy>
  <dcterms:modified xsi:type="dcterms:W3CDTF">2023-10-26T08:23:24Z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6CF5BAE915614E6EB7A73FFDF78385F6_11</vt:lpwstr>
  </property>
</Properties>
</file>