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textAlignment w:val="center"/>
        <w:rPr>
          <w:rFonts w:hint="eastAsia" w:ascii="黑体" w:hAnsi="黑体" w:eastAsia="黑体" w:cs="黑体"/>
          <w:spacing w:val="-11"/>
          <w:kern w:val="0"/>
          <w:sz w:val="32"/>
          <w:szCs w:val="32"/>
          <w:highlight w:val="none"/>
          <w:lang w:bidi="ar"/>
        </w:rPr>
      </w:pPr>
    </w:p>
    <w:p>
      <w:pPr>
        <w:widowControl/>
        <w:numPr>
          <w:ilvl w:val="0"/>
          <w:numId w:val="0"/>
        </w:numPr>
        <w:jc w:val="center"/>
        <w:textAlignment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1"/>
          <w:kern w:val="0"/>
          <w:sz w:val="44"/>
          <w:szCs w:val="44"/>
          <w:highlight w:val="none"/>
          <w:lang w:eastAsia="zh-CN" w:bidi="ar"/>
        </w:rPr>
        <w:t>渝水区</w:t>
      </w:r>
      <w:r>
        <w:rPr>
          <w:rFonts w:hint="eastAsia" w:ascii="方正小标宋简体" w:hAnsi="方正小标宋简体" w:eastAsia="方正小标宋简体" w:cs="方正小标宋简体"/>
          <w:b w:val="0"/>
          <w:bCs w:val="0"/>
          <w:spacing w:val="-11"/>
          <w:kern w:val="0"/>
          <w:sz w:val="44"/>
          <w:szCs w:val="44"/>
          <w:highlight w:val="none"/>
          <w:lang w:val="en-US" w:eastAsia="zh-CN" w:bidi="ar"/>
        </w:rPr>
        <w:t>工信领域</w:t>
      </w:r>
      <w:r>
        <w:rPr>
          <w:rFonts w:hint="eastAsia" w:ascii="方正小标宋简体" w:hAnsi="方正小标宋简体" w:eastAsia="方正小标宋简体" w:cs="方正小标宋简体"/>
          <w:b w:val="0"/>
          <w:bCs w:val="0"/>
          <w:spacing w:val="-11"/>
          <w:kern w:val="0"/>
          <w:sz w:val="44"/>
          <w:szCs w:val="44"/>
          <w:highlight w:val="none"/>
          <w:lang w:bidi="ar"/>
        </w:rPr>
        <w:t>轻微违法行为不予处罚清单</w:t>
      </w:r>
    </w:p>
    <w:tbl>
      <w:tblPr>
        <w:tblStyle w:val="9"/>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64"/>
        <w:gridCol w:w="3158"/>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964"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序号</w:t>
            </w:r>
          </w:p>
        </w:tc>
        <w:tc>
          <w:tcPr>
            <w:tcW w:w="1964"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违法行为</w:t>
            </w:r>
          </w:p>
        </w:tc>
        <w:tc>
          <w:tcPr>
            <w:tcW w:w="3158"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不予处罚条件</w:t>
            </w:r>
          </w:p>
        </w:tc>
        <w:tc>
          <w:tcPr>
            <w:tcW w:w="7772"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964" w:type="dxa"/>
            <w:noWrap w:val="0"/>
            <w:vAlign w:val="center"/>
          </w:tcPr>
          <w:p>
            <w:pPr>
              <w:widowControl/>
              <w:spacing w:line="30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964" w:type="dxa"/>
            <w:noWrap w:val="0"/>
            <w:vAlign w:val="center"/>
          </w:tcPr>
          <w:p>
            <w:pPr>
              <w:keepNext w:val="0"/>
              <w:keepLines w:val="0"/>
              <w:widowControl/>
              <w:suppressLineNumbers w:val="0"/>
              <w:wordWrap w:val="0"/>
              <w:jc w:val="left"/>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城市规划区内工程建设项目违法现场搅拌混凝土的行为</w:t>
            </w:r>
          </w:p>
        </w:tc>
        <w:tc>
          <w:tcPr>
            <w:tcW w:w="3158" w:type="dxa"/>
            <w:noWrap w:val="0"/>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kern w:val="2"/>
                <w:sz w:val="21"/>
                <w:szCs w:val="21"/>
                <w:vertAlign w:val="baseline"/>
                <w:lang w:val="en-US" w:eastAsia="zh-CN" w:bidi="ar-SA"/>
              </w:rPr>
              <w:t>责令限期整改到位，并未产生严重后果的。</w:t>
            </w:r>
          </w:p>
        </w:tc>
        <w:tc>
          <w:tcPr>
            <w:tcW w:w="7772"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依据《江西省促进散装水泥和预拌混凝土发展条例》第八条：</w:t>
            </w:r>
            <w:r>
              <w:rPr>
                <w:rFonts w:hint="eastAsia" w:ascii="宋体" w:hAnsi="宋体" w:eastAsia="宋体" w:cs="宋体"/>
                <w:i w:val="0"/>
                <w:iCs w:val="0"/>
                <w:caps w:val="0"/>
                <w:color w:val="333333"/>
                <w:spacing w:val="0"/>
                <w:sz w:val="21"/>
                <w:szCs w:val="21"/>
                <w:shd w:val="clear" w:color="auto" w:fill="FFFFFF"/>
              </w:rPr>
              <w:t>设区的市城区内的工程建设项目，应当使用散装水泥和预拌混凝土，禁止使用袋装水泥和现场搅拌混凝土。</w:t>
            </w:r>
            <w:r>
              <w:rPr>
                <w:rFonts w:hint="eastAsia" w:ascii="宋体" w:hAnsi="宋体" w:eastAsia="宋体" w:cs="宋体"/>
                <w:i w:val="0"/>
                <w:iCs w:val="0"/>
                <w:caps w:val="0"/>
                <w:color w:val="333333"/>
                <w:spacing w:val="0"/>
                <w:sz w:val="21"/>
                <w:szCs w:val="21"/>
                <w:shd w:val="clear" w:color="auto" w:fill="FFFFFF"/>
                <w:lang w:val="en-US" w:eastAsia="zh-CN"/>
              </w:rPr>
              <w:t>第</w:t>
            </w:r>
            <w:r>
              <w:rPr>
                <w:rFonts w:hint="eastAsia" w:ascii="宋体" w:hAnsi="宋体" w:eastAsia="宋体" w:cs="宋体"/>
                <w:sz w:val="21"/>
                <w:szCs w:val="21"/>
                <w:vertAlign w:val="baseline"/>
                <w:lang w:val="en-US" w:eastAsia="zh-CN"/>
              </w:rPr>
              <w:t>二十条：</w:t>
            </w:r>
            <w:r>
              <w:rPr>
                <w:rFonts w:hint="eastAsia" w:ascii="宋体" w:hAnsi="宋体" w:eastAsia="宋体" w:cs="宋体"/>
                <w:i w:val="0"/>
                <w:iCs w:val="0"/>
                <w:caps w:val="0"/>
                <w:color w:val="333333"/>
                <w:spacing w:val="0"/>
                <w:sz w:val="21"/>
                <w:szCs w:val="21"/>
                <w:shd w:val="clear" w:color="auto" w:fill="FFFFFF"/>
              </w:rPr>
              <w:t>工程建设项目应当使用散装水泥、预拌混凝土而未使用的，由散装水泥和预拌混凝土管理机构责令限期改正，并可对建设单位按每立方米混凝土处以100元罚款，或者按每吨袋装水泥处以300元罚款。但责任属于施工单位的，对施工单位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64"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城市规划区内工程建设项目违法现场搅拌砂浆的行为</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vertAlign w:val="baseline"/>
                <w:lang w:val="en-US" w:eastAsia="zh-CN" w:bidi="ar-SA"/>
              </w:rPr>
              <w:t>责令限期整改到位，并未产生严重后果的。</w:t>
            </w:r>
          </w:p>
        </w:tc>
        <w:tc>
          <w:tcPr>
            <w:tcW w:w="7772"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依据《江西省促进散装水泥和预拌混凝土发展条例》第八条：</w:t>
            </w:r>
            <w:r>
              <w:rPr>
                <w:rFonts w:hint="eastAsia" w:ascii="宋体" w:hAnsi="宋体" w:eastAsia="宋体" w:cs="宋体"/>
                <w:i w:val="0"/>
                <w:iCs w:val="0"/>
                <w:caps w:val="0"/>
                <w:color w:val="333333"/>
                <w:spacing w:val="0"/>
                <w:sz w:val="21"/>
                <w:szCs w:val="21"/>
                <w:shd w:val="clear" w:color="auto" w:fill="FFFFFF"/>
              </w:rPr>
              <w:t>设区的市城区内的工程建设项目，应当使用散装水泥和预拌混凝土，禁止使用袋装水泥和现场搅拌混凝土。</w:t>
            </w:r>
            <w:r>
              <w:rPr>
                <w:rFonts w:hint="eastAsia" w:ascii="宋体" w:hAnsi="宋体" w:eastAsia="宋体" w:cs="宋体"/>
                <w:i w:val="0"/>
                <w:iCs w:val="0"/>
                <w:caps w:val="0"/>
                <w:color w:val="333333"/>
                <w:spacing w:val="0"/>
                <w:sz w:val="21"/>
                <w:szCs w:val="21"/>
                <w:shd w:val="clear" w:color="auto" w:fill="FFFFFF"/>
                <w:lang w:val="en-US" w:eastAsia="zh-CN"/>
              </w:rPr>
              <w:t>第二十条：</w:t>
            </w:r>
            <w:r>
              <w:rPr>
                <w:rFonts w:hint="eastAsia" w:ascii="宋体" w:hAnsi="宋体" w:eastAsia="宋体" w:cs="宋体"/>
                <w:i w:val="0"/>
                <w:iCs w:val="0"/>
                <w:caps w:val="0"/>
                <w:color w:val="333333"/>
                <w:spacing w:val="0"/>
                <w:sz w:val="21"/>
                <w:szCs w:val="21"/>
                <w:shd w:val="clear" w:color="auto" w:fill="FFFFFF"/>
              </w:rPr>
              <w:t>工程建设项目应当使用散装水泥、预拌混凝土而未使用的，由散装水泥和预拌混凝土管理机构责令限期改正，并可对建设单位按每立方米混凝土处以100元罚款，或者按每吨袋装水泥处以300元罚款。但责任属于施工单位的，对施工单位进行处罚。第二十四条</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在国家规定禁止现场搅拌砂浆的区域内，预拌砂浆的管理按照本条例有关预拌混凝土的规定执行。</w:t>
            </w:r>
            <w:r>
              <w:rPr>
                <w:rFonts w:hint="eastAsia" w:ascii="宋体" w:hAnsi="宋体" w:eastAsia="宋体" w:cs="宋体"/>
                <w:i w:val="0"/>
                <w:iCs w:val="0"/>
                <w:caps w:val="0"/>
                <w:color w:val="333333"/>
                <w:spacing w:val="0"/>
                <w:sz w:val="21"/>
                <w:szCs w:val="21"/>
                <w:shd w:val="clear" w:color="auto" w:fill="FFFFFF"/>
                <w:lang w:val="en-US" w:eastAsia="zh-CN"/>
              </w:rPr>
              <w:t>《江西省工信系统行政处罚自由裁量权执法标准》第三部分：1、工程建设项目应当使用预拌砂浆而未使用的或未全部使用的，由工程建设项目所在地工业和信息化主管部门责令限期改正，并可对建设单位按已现场搅拌砂浆的数量，处以每吨砂浆七十元罚款；2、工程建设项目应当使用预拌砂浆而未使用的或未全部使用的，责任属于施工单位的，由工程建设项目所在地工业和信息化主管部门责令限期改正，并可对施工单位按已现场搅拌砂浆的数量，处以每吨砂浆七十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left"/>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1964" w:type="dxa"/>
            <w:noWrap w:val="0"/>
            <w:vAlign w:val="center"/>
          </w:tcPr>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水泥制品生产企业违法使用袋装水泥的行为</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责</w:t>
            </w:r>
            <w:r>
              <w:rPr>
                <w:rFonts w:hint="eastAsia" w:ascii="宋体" w:hAnsi="宋体" w:eastAsia="宋体" w:cs="宋体"/>
                <w:kern w:val="2"/>
                <w:sz w:val="21"/>
                <w:szCs w:val="21"/>
                <w:vertAlign w:val="baseline"/>
                <w:lang w:val="en-US" w:eastAsia="zh-CN" w:bidi="ar-SA"/>
              </w:rPr>
              <w:t>令限期</w:t>
            </w:r>
            <w:r>
              <w:rPr>
                <w:rFonts w:hint="eastAsia" w:ascii="宋体" w:hAnsi="宋体" w:eastAsia="宋体" w:cs="宋体"/>
                <w:i w:val="0"/>
                <w:iCs w:val="0"/>
                <w:caps w:val="0"/>
                <w:color w:val="333333"/>
                <w:spacing w:val="0"/>
                <w:sz w:val="21"/>
                <w:szCs w:val="21"/>
                <w:shd w:val="clear" w:color="auto" w:fill="FFFFFF"/>
                <w:lang w:val="en-US" w:eastAsia="zh-CN"/>
              </w:rPr>
              <w:t>整改到位，并未产生严重后果的。</w:t>
            </w:r>
          </w:p>
        </w:tc>
        <w:tc>
          <w:tcPr>
            <w:tcW w:w="7772" w:type="dxa"/>
            <w:noWrap w:val="0"/>
            <w:vAlign w:val="center"/>
          </w:tcPr>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依据《江西省促进散装水泥和预拌混凝土发展条例》第十九条：水泥制品生产企业应当使用散装水泥而未使用的，由所在地工业和信息化主管部门责令限期改正，并可按每立方米混凝土处以100元罚款，或者每吨袋装水泥处以300元罚款。</w:t>
            </w:r>
          </w:p>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964" w:type="dxa"/>
            <w:noWrap w:val="0"/>
            <w:vAlign w:val="center"/>
          </w:tcPr>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城市规划区内工程建设项目违法使用实心粘土砖的行为</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责令限期整改到位，并未产生严重后果的。</w:t>
            </w:r>
          </w:p>
        </w:tc>
        <w:tc>
          <w:tcPr>
            <w:tcW w:w="77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依据《江西省促进发展新型墙体材料条例》第二十一条： 在禁止使用粘土砖的城市规划区内，建筑工程室内地平线以上的墙体，设计单位不得违反国家和本省的建筑设计标准设计使用粘土砖，施工单位不得违反设计图纸要求使用粘土砖，建设单位不得强令设计、施工单位设计、使用粘土砖。第二十三条：违反本条例第二十一条规定，在禁止使用粘土砖的城市规划区内使用粘土砖的，由新型墙体材料主管部门按照下列规定分别进行处罚：</w:t>
            </w:r>
            <w:r>
              <w:rPr>
                <w:rFonts w:hint="eastAsia" w:ascii="宋体" w:hAnsi="宋体" w:cs="宋体"/>
                <w:i w:val="0"/>
                <w:iCs w:val="0"/>
                <w:caps w:val="0"/>
                <w:color w:val="333333"/>
                <w:spacing w:val="0"/>
                <w:sz w:val="21"/>
                <w:szCs w:val="21"/>
                <w:shd w:val="clear" w:color="auto" w:fill="FFFFFF"/>
                <w:lang w:val="en-US" w:eastAsia="zh-CN"/>
              </w:rPr>
              <w:t>（</w:t>
            </w:r>
            <w:r>
              <w:rPr>
                <w:rFonts w:hint="eastAsia" w:ascii="宋体" w:hAnsi="宋体" w:eastAsia="宋体" w:cs="宋体"/>
                <w:i w:val="0"/>
                <w:iCs w:val="0"/>
                <w:caps w:val="0"/>
                <w:color w:val="333333"/>
                <w:spacing w:val="0"/>
                <w:sz w:val="21"/>
                <w:szCs w:val="21"/>
                <w:shd w:val="clear" w:color="auto" w:fill="FFFFFF"/>
                <w:lang w:val="en-US" w:eastAsia="zh-CN"/>
              </w:rPr>
              <w:t>一</w:t>
            </w:r>
            <w:r>
              <w:rPr>
                <w:rFonts w:hint="eastAsia" w:ascii="宋体" w:hAnsi="宋体" w:cs="宋体"/>
                <w:i w:val="0"/>
                <w:iCs w:val="0"/>
                <w:caps w:val="0"/>
                <w:color w:val="333333"/>
                <w:spacing w:val="0"/>
                <w:sz w:val="21"/>
                <w:szCs w:val="21"/>
                <w:shd w:val="clear" w:color="auto" w:fill="FFFFFF"/>
                <w:lang w:val="en-US" w:eastAsia="zh-CN"/>
              </w:rPr>
              <w:t>）</w:t>
            </w:r>
            <w:r>
              <w:rPr>
                <w:rFonts w:hint="eastAsia" w:ascii="宋体" w:hAnsi="宋体" w:eastAsia="宋体" w:cs="宋体"/>
                <w:i w:val="0"/>
                <w:iCs w:val="0"/>
                <w:caps w:val="0"/>
                <w:color w:val="333333"/>
                <w:spacing w:val="0"/>
                <w:sz w:val="21"/>
                <w:szCs w:val="21"/>
                <w:shd w:val="clear" w:color="auto" w:fill="FFFFFF"/>
                <w:lang w:val="en-US" w:eastAsia="zh-CN"/>
              </w:rPr>
              <w:t>建设单位强令设计单位设计使用粘土砖的，或者设计单位违反国家和本省的建筑设计标准设计使用粘土砖的，责令改正，并对责任单位按合同约定设计费一倍以上二倍以下处以罚款。</w:t>
            </w:r>
            <w:r>
              <w:rPr>
                <w:rFonts w:hint="eastAsia" w:ascii="宋体" w:hAnsi="宋体" w:cs="宋体"/>
                <w:i w:val="0"/>
                <w:iCs w:val="0"/>
                <w:caps w:val="0"/>
                <w:color w:val="333333"/>
                <w:spacing w:val="0"/>
                <w:sz w:val="21"/>
                <w:szCs w:val="21"/>
                <w:shd w:val="clear" w:color="auto" w:fill="FFFFFF"/>
                <w:lang w:val="en-US" w:eastAsia="zh-CN"/>
              </w:rPr>
              <w:t>（</w:t>
            </w:r>
            <w:r>
              <w:rPr>
                <w:rFonts w:hint="eastAsia" w:ascii="宋体" w:hAnsi="宋体" w:eastAsia="宋体" w:cs="宋体"/>
                <w:i w:val="0"/>
                <w:iCs w:val="0"/>
                <w:caps w:val="0"/>
                <w:color w:val="333333"/>
                <w:spacing w:val="0"/>
                <w:sz w:val="21"/>
                <w:szCs w:val="21"/>
                <w:shd w:val="clear" w:color="auto" w:fill="FFFFFF"/>
                <w:lang w:val="en-US" w:eastAsia="zh-CN"/>
              </w:rPr>
              <w:t>二</w:t>
            </w:r>
            <w:r>
              <w:rPr>
                <w:rFonts w:hint="eastAsia" w:ascii="宋体" w:hAnsi="宋体" w:cs="宋体"/>
                <w:i w:val="0"/>
                <w:iCs w:val="0"/>
                <w:caps w:val="0"/>
                <w:color w:val="333333"/>
                <w:spacing w:val="0"/>
                <w:sz w:val="21"/>
                <w:szCs w:val="21"/>
                <w:shd w:val="clear" w:color="auto" w:fill="FFFFFF"/>
                <w:lang w:val="en-US" w:eastAsia="zh-CN"/>
              </w:rPr>
              <w:t>）</w:t>
            </w:r>
            <w:r>
              <w:rPr>
                <w:rFonts w:hint="eastAsia" w:ascii="宋体" w:hAnsi="宋体" w:eastAsia="宋体" w:cs="宋体"/>
                <w:i w:val="0"/>
                <w:iCs w:val="0"/>
                <w:caps w:val="0"/>
                <w:color w:val="333333"/>
                <w:spacing w:val="0"/>
                <w:sz w:val="21"/>
                <w:szCs w:val="21"/>
                <w:shd w:val="clear" w:color="auto" w:fill="FFFFFF"/>
                <w:lang w:val="en-US" w:eastAsia="zh-CN"/>
              </w:rPr>
              <w:t>建设单位强令施工单位使用粘土砖的，责令限期改正；逾期不改正的，按粘土砖用量，对责任单位处以每立方米二百元以上四百元以下罚款。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96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无偿向本单位职工提供能源或者对能源消费实行包费制</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责令限期整改到位，并未产生严重后果的。</w:t>
            </w:r>
          </w:p>
        </w:tc>
        <w:tc>
          <w:tcPr>
            <w:tcW w:w="7772" w:type="dxa"/>
            <w:noWrap w:val="0"/>
            <w:vAlign w:val="top"/>
          </w:tcPr>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p>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依据《中华人民共和国节约能源法》第七十七条  违反本法规定，无偿向本单位职工提供能源或者对能源消费实行包费制的，由管理节能工作的部门责令限期改正；逾期不改正的，处五万元以上二十万元以下罚款。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196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重点用能单位未按规定报送能源利用状况报告或者报告内容不实</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责令限期整改到位，并未产生严重后果的。</w:t>
            </w:r>
          </w:p>
        </w:tc>
        <w:tc>
          <w:tcPr>
            <w:tcW w:w="7772" w:type="dxa"/>
            <w:noWrap w:val="0"/>
            <w:vAlign w:val="top"/>
          </w:tcPr>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p>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依据《中华人民共和国节约能源法》第八十二条  重点用能单位未按照本法规定报送能源利用状况报告或者报告内容不实的，由管理节能工作的部门责令限期改正；逾期不改正的，处一万元以上五万元以下罚款。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19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重点用能企业未落实节能管理部门提出的整改要求或没达到要求</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责令限期整改到位，并未产生严重后果的。</w:t>
            </w:r>
          </w:p>
        </w:tc>
        <w:tc>
          <w:tcPr>
            <w:tcW w:w="7772" w:type="dxa"/>
            <w:noWrap w:val="0"/>
            <w:vAlign w:val="top"/>
          </w:tcPr>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依据《中华人民共和国节约能源法》第八十三条  重点用能单位无正当理由拒不落实本法第五十四条规定的整改要求或者整改没有达到要求的，由管理节能工作的部门处十万元以上三十万元以下罚款。依据《中华人民共和国节约能源法》第五十四条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196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重点用能单位未设立能源管理岗位、聘任能源管理负责人、报管理节能工作的部门和有关部门备案</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责令限期整改到位，并未产生严重后果的。</w:t>
            </w:r>
          </w:p>
        </w:tc>
        <w:tc>
          <w:tcPr>
            <w:tcW w:w="7772" w:type="dxa"/>
            <w:noWrap w:val="0"/>
            <w:vAlign w:val="top"/>
          </w:tcPr>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p>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p>
          <w:p>
            <w:pPr>
              <w:keepNext w:val="0"/>
              <w:keepLines w:val="0"/>
              <w:widowControl/>
              <w:suppressLineNumbers w:val="0"/>
              <w:jc w:val="left"/>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依据《中华人民共和国节约能源法》第八十四条  重点用能单位未按照本法规定设立能源管理岗位，聘任能源管理负责人，并报管理节能工作的部门和有关部门备案的，由管理节能工作的部门责令改正；拒不改正的，处一万元以上三万元以下罚款。</w:t>
            </w:r>
          </w:p>
        </w:tc>
      </w:tr>
    </w:tbl>
    <w:p>
      <w:pPr>
        <w:pStyle w:val="2"/>
        <w:rPr>
          <w:rFonts w:hint="eastAsia" w:ascii="方正小标宋简体" w:hAnsi="方正小标宋简体" w:eastAsia="方正小标宋简体" w:cs="方正小标宋简体"/>
          <w:sz w:val="13"/>
          <w:szCs w:val="13"/>
          <w:lang w:val="en-US" w:eastAsia="zh-CN"/>
        </w:rPr>
      </w:pPr>
      <w:bookmarkStart w:id="0" w:name="_GoBack"/>
      <w:bookmarkEnd w:id="0"/>
    </w:p>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FiNzEzNjg5ZmZkMDI5MjMzMjU5NWZiYTE3N2EifQ=="/>
  </w:docVars>
  <w:rsids>
    <w:rsidRoot w:val="1EF173F5"/>
    <w:rsid w:val="1EF173F5"/>
    <w:rsid w:val="28DC7165"/>
    <w:rsid w:val="41C50B1C"/>
    <w:rsid w:val="467733A8"/>
    <w:rsid w:val="4AE07140"/>
    <w:rsid w:val="61F9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qFormat/>
    <w:uiPriority w:val="0"/>
    <w:pPr>
      <w:keepNext/>
      <w:keepLines/>
      <w:spacing w:before="280" w:after="290" w:line="376" w:lineRule="auto"/>
      <w:outlineLvl w:val="4"/>
    </w:pPr>
    <w:rPr>
      <w:rFonts w:ascii="Times New Roman" w:hAnsi="Times New Roman" w:eastAsia="宋体"/>
      <w:b/>
      <w:bCs/>
      <w:sz w:val="28"/>
      <w:szCs w:val="28"/>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4">
    <w:name w:val="Normal Indent"/>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font01"/>
    <w:basedOn w:val="11"/>
    <w:qFormat/>
    <w:uiPriority w:val="0"/>
    <w:rPr>
      <w:rFonts w:hint="eastAsia" w:ascii="宋体" w:hAnsi="宋体" w:eastAsia="宋体" w:cs="宋体"/>
      <w:color w:val="000000"/>
      <w:sz w:val="24"/>
      <w:szCs w:val="24"/>
      <w:u w:val="none"/>
      <w:lang w:bidi="ar-SA"/>
    </w:rPr>
  </w:style>
  <w:style w:type="paragraph" w:customStyle="1" w:styleId="14">
    <w:name w:val="Heading3"/>
    <w:basedOn w:val="1"/>
    <w:next w:val="1"/>
    <w:qFormat/>
    <w:uiPriority w:val="0"/>
    <w:pPr>
      <w:keepNext/>
      <w:keepLines/>
      <w:spacing w:line="560" w:lineRule="exact"/>
      <w:textAlignment w:val="baseline"/>
    </w:pPr>
    <w:rPr>
      <w:b/>
    </w:rPr>
  </w:style>
  <w:style w:type="character" w:customStyle="1" w:styleId="15">
    <w:name w:val="font61"/>
    <w:basedOn w:val="11"/>
    <w:qFormat/>
    <w:uiPriority w:val="0"/>
    <w:rPr>
      <w:rFonts w:hint="eastAsia" w:ascii="仿宋" w:hAnsi="仿宋" w:eastAsia="仿宋" w:cs="仿宋"/>
      <w:color w:val="000000"/>
      <w:sz w:val="24"/>
      <w:szCs w:val="24"/>
      <w:u w:val="none"/>
    </w:rPr>
  </w:style>
  <w:style w:type="character" w:customStyle="1" w:styleId="16">
    <w:name w:val="font81"/>
    <w:basedOn w:val="11"/>
    <w:qFormat/>
    <w:uiPriority w:val="0"/>
    <w:rPr>
      <w:rFonts w:ascii="Arial" w:hAnsi="Arial" w:cs="Arial"/>
      <w:color w:val="000000"/>
      <w:sz w:val="24"/>
      <w:szCs w:val="24"/>
      <w:u w:val="none"/>
    </w:rPr>
  </w:style>
  <w:style w:type="character" w:customStyle="1" w:styleId="17">
    <w:name w:val="font41"/>
    <w:basedOn w:val="11"/>
    <w:qFormat/>
    <w:uiPriority w:val="0"/>
    <w:rPr>
      <w:rFonts w:hint="eastAsia" w:ascii="宋体" w:hAnsi="宋体" w:eastAsia="宋体" w:cs="宋体"/>
      <w:color w:val="000000"/>
      <w:sz w:val="20"/>
      <w:szCs w:val="20"/>
      <w:u w:val="none"/>
    </w:rPr>
  </w:style>
  <w:style w:type="character" w:customStyle="1" w:styleId="18">
    <w:name w:val="text-tag"/>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2014</Words>
  <Characters>2026</Characters>
  <Lines>0</Lines>
  <Paragraphs>0</Paragraphs>
  <TotalTime>0</TotalTime>
  <ScaleCrop>false</ScaleCrop>
  <LinksUpToDate>false</LinksUpToDate>
  <CharactersWithSpaces>2037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2022-08-29T07:07:00Z</dcterms:created>
  <dc:creator>张青</dc:creator>
  <cp:lastModifiedBy>邓凯</cp:lastModifiedBy>
  <dcterms:modified xsi:type="dcterms:W3CDTF">2022-08-30T01:13:57Z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5D0CB5E47B5D4CA08609B51C9E817F71</vt:lpwstr>
  </property>
</Properties>
</file>