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26C10E">
      <w:pPr>
        <w:pStyle w:val="18"/>
        <w:bidi w:val="0"/>
        <w:rPr>
          <w:rFonts w:hint="eastAsia"/>
        </w:rPr>
      </w:pPr>
      <w:r>
        <w:rPr>
          <w:rFonts w:hint="eastAsia"/>
          <w:lang w:eastAsia="zh-CN"/>
        </w:rPr>
        <w:t>新余市渝水区财政局（部门）2026</w:t>
      </w:r>
      <w:r>
        <w:rPr>
          <w:rFonts w:hint="eastAsia"/>
        </w:rPr>
        <w:t>年部门预算</w:t>
      </w:r>
    </w:p>
    <w:p w14:paraId="69C1BA2F">
      <w:pPr>
        <w:pStyle w:val="15"/>
        <w:spacing w:line="600" w:lineRule="atLeast"/>
        <w:jc w:val="center"/>
        <w:rPr>
          <w:rFonts w:ascii="黑体" w:hAnsi="黑体" w:eastAsia="黑体"/>
          <w:color w:val="000000"/>
          <w:sz w:val="32"/>
          <w:szCs w:val="32"/>
        </w:rPr>
      </w:pPr>
    </w:p>
    <w:p w14:paraId="3D86DDAA">
      <w:pPr>
        <w:pStyle w:val="15"/>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6B5EFFAB">
      <w:pPr>
        <w:pStyle w:val="15"/>
        <w:rPr>
          <w:rFonts w:ascii="宋体" w:hAnsi="宋体"/>
          <w:color w:val="000000"/>
        </w:rPr>
      </w:pPr>
    </w:p>
    <w:p w14:paraId="18035847">
      <w:pPr>
        <w:pStyle w:val="19"/>
        <w:numPr>
          <w:ilvl w:val="0"/>
          <w:numId w:val="0"/>
        </w:numPr>
        <w:bidi w:val="0"/>
        <w:ind w:left="420" w:leftChars="200"/>
        <w:jc w:val="left"/>
        <w:rPr>
          <w:rFonts w:hint="eastAsia"/>
          <w:lang w:eastAsia="zh-CN"/>
        </w:rPr>
      </w:pPr>
      <w:r>
        <w:rPr>
          <w:rFonts w:hint="eastAsia"/>
          <w:lang w:val="en-US" w:eastAsia="zh-CN"/>
        </w:rPr>
        <w:t>第一部分  新余市渝水区财政局（部门）概况</w:t>
      </w:r>
    </w:p>
    <w:p w14:paraId="4886456A">
      <w:pPr>
        <w:pStyle w:val="20"/>
        <w:bidi w:val="0"/>
        <w:rPr>
          <w:rFonts w:hint="eastAsia" w:ascii="仿宋_GB2312" w:hAnsi="仿宋_GB2312" w:eastAsia="仿宋_GB2312" w:cs="仿宋_GB2312"/>
        </w:rPr>
      </w:pPr>
      <w:r>
        <w:rPr>
          <w:rFonts w:hint="eastAsia" w:ascii="仿宋_GB2312" w:hAnsi="仿宋_GB2312" w:eastAsia="仿宋_GB2312" w:cs="仿宋_GB2312"/>
        </w:rPr>
        <w:t>一、部门主要职责</w:t>
      </w:r>
    </w:p>
    <w:p w14:paraId="74FE216F">
      <w:pPr>
        <w:pStyle w:val="20"/>
        <w:bidi w:val="0"/>
        <w:rPr>
          <w:rFonts w:hint="eastAsia" w:ascii="仿宋_GB2312" w:hAnsi="仿宋_GB2312" w:eastAsia="仿宋_GB2312" w:cs="仿宋_GB2312"/>
        </w:rPr>
      </w:pPr>
      <w:r>
        <w:rPr>
          <w:rFonts w:hint="eastAsia" w:ascii="仿宋_GB2312" w:hAnsi="仿宋_GB2312" w:eastAsia="仿宋_GB2312" w:cs="仿宋_GB2312"/>
        </w:rPr>
        <w:t>二、机构设置及人员情况</w:t>
      </w:r>
    </w:p>
    <w:p w14:paraId="08517266">
      <w:pPr>
        <w:pStyle w:val="19"/>
        <w:numPr>
          <w:ilvl w:val="0"/>
          <w:numId w:val="0"/>
        </w:numPr>
        <w:bidi w:val="0"/>
        <w:ind w:left="420" w:leftChars="200"/>
        <w:jc w:val="left"/>
        <w:rPr>
          <w:rFonts w:hint="eastAsia"/>
        </w:rPr>
      </w:pPr>
      <w:r>
        <w:rPr>
          <w:rFonts w:hint="eastAsia"/>
        </w:rPr>
        <w:t xml:space="preserve">第二部分  </w:t>
      </w:r>
      <w:r>
        <w:rPr>
          <w:rFonts w:hint="eastAsia"/>
          <w:lang w:eastAsia="zh-CN"/>
        </w:rPr>
        <w:t>新余市渝水区财政局（部门）2026</w:t>
      </w:r>
      <w:r>
        <w:rPr>
          <w:rFonts w:hint="eastAsia"/>
        </w:rPr>
        <w:t>年部门预算表</w:t>
      </w:r>
    </w:p>
    <w:p w14:paraId="1ACAB7D8">
      <w:pPr>
        <w:pStyle w:val="20"/>
        <w:bidi w:val="0"/>
        <w:rPr>
          <w:rFonts w:hint="eastAsia" w:ascii="仿宋_GB2312" w:hAnsi="仿宋_GB2312" w:eastAsia="仿宋_GB2312" w:cs="仿宋_GB2312"/>
        </w:rPr>
      </w:pPr>
      <w:r>
        <w:rPr>
          <w:rFonts w:hint="eastAsia" w:ascii="仿宋_GB2312" w:hAnsi="仿宋_GB2312" w:eastAsia="仿宋_GB2312" w:cs="仿宋_GB2312"/>
        </w:rPr>
        <w:t>一、《收支预算总表》</w:t>
      </w:r>
    </w:p>
    <w:p w14:paraId="6AF9495C">
      <w:pPr>
        <w:pStyle w:val="20"/>
        <w:bidi w:val="0"/>
        <w:rPr>
          <w:rFonts w:hint="eastAsia" w:ascii="仿宋_GB2312" w:hAnsi="仿宋_GB2312" w:eastAsia="仿宋_GB2312" w:cs="仿宋_GB2312"/>
        </w:rPr>
      </w:pPr>
      <w:r>
        <w:rPr>
          <w:rFonts w:hint="eastAsia" w:ascii="仿宋_GB2312" w:hAnsi="仿宋_GB2312" w:eastAsia="仿宋_GB2312" w:cs="仿宋_GB2312"/>
        </w:rPr>
        <w:t>二、《部门收入总表》</w:t>
      </w:r>
    </w:p>
    <w:p w14:paraId="4B356B59">
      <w:pPr>
        <w:pStyle w:val="20"/>
        <w:bidi w:val="0"/>
        <w:rPr>
          <w:rFonts w:hint="eastAsia" w:ascii="仿宋_GB2312" w:hAnsi="仿宋_GB2312" w:eastAsia="仿宋_GB2312" w:cs="仿宋_GB2312"/>
        </w:rPr>
      </w:pPr>
      <w:r>
        <w:rPr>
          <w:rFonts w:hint="eastAsia" w:ascii="仿宋_GB2312" w:hAnsi="仿宋_GB2312" w:eastAsia="仿宋_GB2312" w:cs="仿宋_GB2312"/>
        </w:rPr>
        <w:t>三、《部门支出总表》</w:t>
      </w:r>
    </w:p>
    <w:p w14:paraId="3C82DF26">
      <w:pPr>
        <w:pStyle w:val="20"/>
        <w:bidi w:val="0"/>
        <w:rPr>
          <w:rFonts w:hint="eastAsia" w:ascii="仿宋_GB2312" w:hAnsi="仿宋_GB2312" w:eastAsia="仿宋_GB2312" w:cs="仿宋_GB2312"/>
        </w:rPr>
      </w:pPr>
      <w:r>
        <w:rPr>
          <w:rFonts w:hint="eastAsia" w:ascii="仿宋_GB2312" w:hAnsi="仿宋_GB2312" w:eastAsia="仿宋_GB2312" w:cs="仿宋_GB2312"/>
        </w:rPr>
        <w:t>四、《财政拨款收支总表》</w:t>
      </w:r>
    </w:p>
    <w:p w14:paraId="3DB41E70">
      <w:pPr>
        <w:pStyle w:val="20"/>
        <w:bidi w:val="0"/>
        <w:rPr>
          <w:rFonts w:hint="eastAsia" w:ascii="仿宋_GB2312" w:hAnsi="仿宋_GB2312" w:eastAsia="仿宋_GB2312" w:cs="仿宋_GB2312"/>
        </w:rPr>
      </w:pPr>
      <w:r>
        <w:rPr>
          <w:rFonts w:hint="eastAsia" w:ascii="仿宋_GB2312" w:hAnsi="仿宋_GB2312" w:eastAsia="仿宋_GB2312" w:cs="仿宋_GB2312"/>
        </w:rPr>
        <w:t>五、《一般公共预算支出表》</w:t>
      </w:r>
    </w:p>
    <w:p w14:paraId="0456E5AC">
      <w:pPr>
        <w:pStyle w:val="20"/>
        <w:bidi w:val="0"/>
        <w:rPr>
          <w:rFonts w:hint="eastAsia" w:ascii="仿宋_GB2312" w:hAnsi="仿宋_GB2312" w:eastAsia="仿宋_GB2312" w:cs="仿宋_GB2312"/>
        </w:rPr>
      </w:pPr>
      <w:r>
        <w:rPr>
          <w:rFonts w:hint="eastAsia" w:ascii="仿宋_GB2312" w:hAnsi="仿宋_GB2312" w:eastAsia="仿宋_GB2312" w:cs="仿宋_GB2312"/>
        </w:rPr>
        <w:t>六、《一般公共预算基本支出表》</w:t>
      </w:r>
    </w:p>
    <w:p w14:paraId="6900E1D0">
      <w:pPr>
        <w:pStyle w:val="20"/>
        <w:bidi w:val="0"/>
        <w:rPr>
          <w:rFonts w:hint="eastAsia" w:ascii="仿宋_GB2312" w:hAnsi="仿宋_GB2312" w:eastAsia="仿宋_GB2312" w:cs="仿宋_GB2312"/>
        </w:rPr>
      </w:pPr>
      <w:r>
        <w:rPr>
          <w:rFonts w:hint="eastAsia" w:ascii="仿宋_GB2312" w:hAnsi="仿宋_GB2312" w:eastAsia="仿宋_GB2312" w:cs="仿宋_GB2312"/>
        </w:rPr>
        <w:t>七、《财政拨款“三公”经费支出表》</w:t>
      </w:r>
    </w:p>
    <w:p w14:paraId="6D1DA88B">
      <w:pPr>
        <w:pStyle w:val="20"/>
        <w:bidi w:val="0"/>
        <w:rPr>
          <w:rFonts w:hint="eastAsia" w:ascii="仿宋_GB2312" w:hAnsi="仿宋_GB2312" w:eastAsia="仿宋_GB2312" w:cs="仿宋_GB2312"/>
        </w:rPr>
      </w:pPr>
      <w:r>
        <w:rPr>
          <w:rFonts w:hint="eastAsia" w:ascii="仿宋_GB2312" w:hAnsi="仿宋_GB2312" w:eastAsia="仿宋_GB2312" w:cs="仿宋_GB2312"/>
        </w:rPr>
        <w:t>八、《政府性基金预算支出表》</w:t>
      </w:r>
    </w:p>
    <w:p w14:paraId="42366324">
      <w:pPr>
        <w:pStyle w:val="20"/>
        <w:bidi w:val="0"/>
        <w:rPr>
          <w:rFonts w:hint="eastAsia" w:ascii="仿宋_GB2312" w:hAnsi="仿宋_GB2312" w:eastAsia="仿宋_GB2312" w:cs="仿宋_GB2312"/>
        </w:rPr>
      </w:pPr>
      <w:r>
        <w:rPr>
          <w:rFonts w:hint="eastAsia" w:ascii="仿宋_GB2312" w:hAnsi="仿宋_GB2312" w:eastAsia="仿宋_GB2312" w:cs="仿宋_GB2312"/>
        </w:rPr>
        <w:t>九、《国有资本经营预算支出表》</w:t>
      </w:r>
      <w:r>
        <w:rPr>
          <w:rFonts w:hint="eastAsia" w:ascii="仿宋_GB2312" w:hAnsi="仿宋_GB2312" w:eastAsia="仿宋_GB2312" w:cs="仿宋_GB2312"/>
        </w:rPr>
        <w:tab/>
      </w:r>
    </w:p>
    <w:p w14:paraId="5F9FA4CD">
      <w:pPr>
        <w:pStyle w:val="20"/>
        <w:bidi w:val="0"/>
        <w:rPr>
          <w:rFonts w:hint="eastAsia" w:ascii="仿宋_GB2312" w:hAnsi="仿宋_GB2312" w:eastAsia="仿宋_GB2312" w:cs="仿宋_GB2312"/>
        </w:rPr>
      </w:pPr>
      <w:r>
        <w:rPr>
          <w:rFonts w:hint="eastAsia" w:ascii="仿宋_GB2312" w:hAnsi="仿宋_GB2312" w:eastAsia="仿宋_GB2312" w:cs="仿宋_GB2312"/>
        </w:rPr>
        <w:t>十、《部门整体绩效目标》</w:t>
      </w:r>
    </w:p>
    <w:p w14:paraId="31A1AD42">
      <w:pPr>
        <w:pStyle w:val="20"/>
        <w:bidi w:val="0"/>
        <w:rPr>
          <w:rFonts w:hint="eastAsia" w:ascii="仿宋_GB2312" w:hAnsi="仿宋_GB2312" w:eastAsia="仿宋_GB2312" w:cs="仿宋_GB2312"/>
        </w:rPr>
      </w:pPr>
      <w:r>
        <w:rPr>
          <w:rFonts w:hint="eastAsia" w:ascii="仿宋_GB2312" w:hAnsi="仿宋_GB2312" w:eastAsia="仿宋_GB2312" w:cs="仿宋_GB2312"/>
        </w:rPr>
        <w:t>十一、《项目绩效目标</w:t>
      </w:r>
      <w:r>
        <w:rPr>
          <w:rFonts w:hint="eastAsia" w:cs="仿宋_GB2312"/>
          <w:lang w:val="en-US" w:eastAsia="zh-CN"/>
        </w:rPr>
        <w:t>表</w:t>
      </w:r>
      <w:r>
        <w:rPr>
          <w:rFonts w:hint="eastAsia" w:ascii="仿宋_GB2312" w:hAnsi="仿宋_GB2312" w:eastAsia="仿宋_GB2312" w:cs="仿宋_GB2312"/>
        </w:rPr>
        <w:t>》</w:t>
      </w:r>
    </w:p>
    <w:p w14:paraId="6402295C">
      <w:pPr>
        <w:pStyle w:val="19"/>
        <w:numPr>
          <w:ilvl w:val="0"/>
          <w:numId w:val="0"/>
        </w:numPr>
        <w:bidi w:val="0"/>
        <w:ind w:left="420" w:leftChars="200"/>
        <w:jc w:val="left"/>
        <w:rPr>
          <w:rFonts w:hint="eastAsia"/>
          <w:lang w:eastAsia="zh-CN"/>
        </w:rPr>
      </w:pPr>
      <w:r>
        <w:rPr>
          <w:rFonts w:hint="eastAsia"/>
          <w:lang w:eastAsia="zh-CN"/>
        </w:rPr>
        <w:t>第三部分 新余市渝水区财政局（部门） 2026年部门预算情况说明</w:t>
      </w:r>
    </w:p>
    <w:p w14:paraId="148AD9BB">
      <w:pPr>
        <w:pStyle w:val="20"/>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ascii="仿宋_GB2312" w:hAnsi="仿宋_GB2312" w:eastAsia="仿宋_GB2312" w:cs="仿宋_GB2312"/>
          <w:lang w:eastAsia="zh-CN"/>
        </w:rPr>
        <w:t>2026</w:t>
      </w:r>
      <w:r>
        <w:rPr>
          <w:rFonts w:hint="eastAsia" w:ascii="仿宋_GB2312" w:hAnsi="仿宋_GB2312" w:eastAsia="仿宋_GB2312" w:cs="仿宋_GB2312"/>
        </w:rPr>
        <w:t>年部门预算收支情况说明</w:t>
      </w:r>
    </w:p>
    <w:p w14:paraId="24AB22B8">
      <w:pPr>
        <w:pStyle w:val="20"/>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ascii="仿宋_GB2312" w:hAnsi="仿宋_GB2312" w:eastAsia="仿宋_GB2312" w:cs="仿宋_GB2312"/>
          <w:lang w:val="en-US" w:eastAsia="zh-CN"/>
        </w:rPr>
        <w:t>财政拨款</w:t>
      </w:r>
      <w:r>
        <w:rPr>
          <w:rFonts w:hint="eastAsia" w:ascii="仿宋_GB2312" w:hAnsi="仿宋_GB2312" w:eastAsia="仿宋_GB2312" w:cs="仿宋_GB2312"/>
        </w:rPr>
        <w:t>“三公”经费预算情况说明</w:t>
      </w:r>
    </w:p>
    <w:p w14:paraId="2AE9CA41">
      <w:pPr>
        <w:pStyle w:val="15"/>
        <w:tabs>
          <w:tab w:val="left" w:pos="6546"/>
        </w:tabs>
        <w:spacing w:line="600" w:lineRule="atLeast"/>
        <w:ind w:firstLine="1280"/>
        <w:jc w:val="left"/>
        <w:rPr>
          <w:rFonts w:ascii="Adobe 仿宋 Std R" w:hAnsi="Adobe 仿宋 Std R" w:eastAsia="Adobe 仿宋 Std R" w:cstheme="minorBidi"/>
          <w:kern w:val="2"/>
          <w:sz w:val="32"/>
          <w:szCs w:val="30"/>
        </w:rPr>
      </w:pPr>
    </w:p>
    <w:p w14:paraId="6584E8D1">
      <w:pPr>
        <w:pStyle w:val="19"/>
        <w:numPr>
          <w:ilvl w:val="0"/>
          <w:numId w:val="0"/>
        </w:numPr>
        <w:bidi w:val="0"/>
        <w:ind w:left="420" w:leftChars="200"/>
        <w:jc w:val="left"/>
        <w:rPr>
          <w:rFonts w:hint="eastAsia"/>
          <w:lang w:eastAsia="zh-CN"/>
        </w:rPr>
      </w:pPr>
      <w:r>
        <w:rPr>
          <w:rFonts w:hint="eastAsia"/>
          <w:lang w:eastAsia="zh-CN"/>
        </w:rPr>
        <w:t>第四部分  名词解释</w:t>
      </w:r>
    </w:p>
    <w:p w14:paraId="45C65991">
      <w:pPr>
        <w:widowControl/>
        <w:spacing w:line="580" w:lineRule="exact"/>
        <w:jc w:val="center"/>
        <w:rPr>
          <w:rFonts w:ascii="仿宋_GB2312" w:eastAsia="仿宋_GB2312"/>
          <w:b/>
          <w:sz w:val="32"/>
          <w:szCs w:val="30"/>
        </w:rPr>
      </w:pPr>
    </w:p>
    <w:p w14:paraId="4D02906B">
      <w:pPr>
        <w:widowControl/>
        <w:spacing w:line="580" w:lineRule="exact"/>
        <w:jc w:val="center"/>
        <w:rPr>
          <w:rFonts w:ascii="仿宋_GB2312" w:eastAsia="仿宋_GB2312"/>
          <w:b/>
          <w:sz w:val="32"/>
          <w:szCs w:val="30"/>
        </w:rPr>
      </w:pPr>
    </w:p>
    <w:p w14:paraId="6E3E98D2">
      <w:pPr>
        <w:pStyle w:val="19"/>
        <w:numPr>
          <w:ilvl w:val="0"/>
          <w:numId w:val="0"/>
        </w:numPr>
        <w:bidi w:val="0"/>
        <w:ind w:left="420" w:leftChars="200"/>
        <w:jc w:val="center"/>
        <w:rPr>
          <w:rFonts w:hint="eastAsia"/>
          <w:lang w:eastAsia="zh-CN"/>
        </w:rPr>
      </w:pPr>
      <w:r>
        <w:rPr>
          <w:rFonts w:hint="eastAsia"/>
          <w:lang w:eastAsia="zh-CN"/>
        </w:rPr>
        <w:t>第一部分  新余市渝水区财政局（部门）概况</w:t>
      </w:r>
    </w:p>
    <w:p w14:paraId="46811EBA">
      <w:pPr>
        <w:widowControl/>
        <w:spacing w:line="580" w:lineRule="exact"/>
        <w:jc w:val="left"/>
        <w:rPr>
          <w:rFonts w:asciiTheme="minorEastAsia" w:hAnsiTheme="minorEastAsia"/>
          <w:b/>
          <w:sz w:val="36"/>
          <w:szCs w:val="36"/>
        </w:rPr>
      </w:pPr>
    </w:p>
    <w:p w14:paraId="15FFE049">
      <w:pPr>
        <w:pStyle w:val="19"/>
        <w:numPr>
          <w:ilvl w:val="0"/>
          <w:numId w:val="0"/>
        </w:numPr>
        <w:bidi w:val="0"/>
        <w:ind w:left="420" w:leftChars="200" w:firstLine="320" w:firstLineChars="100"/>
        <w:rPr>
          <w:rFonts w:hint="eastAsia"/>
        </w:rPr>
      </w:pPr>
      <w:r>
        <w:rPr>
          <w:rFonts w:hint="eastAsia"/>
        </w:rPr>
        <w:t>一、部门主要职责</w:t>
      </w:r>
    </w:p>
    <w:p w14:paraId="23EFBD2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0"/>
        </w:rPr>
      </w:pPr>
      <w:r>
        <w:rPr>
          <w:rFonts w:hint="eastAsia" w:ascii="仿宋_GB2312" w:hAnsi="仿宋_GB2312" w:eastAsia="仿宋_GB2312" w:cs="仿宋_GB2312"/>
          <w:sz w:val="32"/>
          <w:szCs w:val="30"/>
        </w:rPr>
        <w:t>区财政局是主管财政工作的区政府组成部门（直属机构），主要职责是：</w:t>
      </w:r>
    </w:p>
    <w:p w14:paraId="30A3D5A9">
      <w:pPr>
        <w:widowControl/>
        <w:adjustRightInd w:val="0"/>
        <w:snapToGrid w:val="0"/>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贯彻执行党和国家关于财政、税收的方针政策和法律法规，分析预测全区宏观经济形势，参与制定有关宏观经济政策，提出运用财税政策实施宏观调控和综合平衡社会财力的建议。拟订全区财政、财务、会计管理等规章制度。研究财政发展战略，拟订和执行全区财政分配政策，编制全区中长期财政规划。指导全区财政工作。</w:t>
      </w:r>
    </w:p>
    <w:p w14:paraId="2574C6AE">
      <w:pPr>
        <w:widowControl/>
        <w:adjustRightInd w:val="0"/>
        <w:snapToGrid w:val="0"/>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承担区本级各项财政收支管理责任。负责编制区本级年度预算草案和汇编全区年度预算，组织全区预算执行。负责编制区本级决算草案和审编全区决算草案。受区政府委托，向区人民代表大会报告全区预算及其执行情况，向区人大常委会报告决算。负责审核批复部门（单位）的年度预决算。</w:t>
      </w:r>
    </w:p>
    <w:p w14:paraId="01D57B32">
      <w:pPr>
        <w:widowControl/>
        <w:adjustRightInd w:val="0"/>
        <w:snapToGrid w:val="0"/>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（三）负责政府非税收入管理。负责政府性基金管理，按规定管理行政事业性收费，管理财政票据，管理彩票资金。</w:t>
      </w:r>
    </w:p>
    <w:p w14:paraId="45838FE5">
      <w:pPr>
        <w:widowControl/>
        <w:adjustRightInd w:val="0"/>
        <w:snapToGrid w:val="0"/>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（四）组织制定并实施国库管理制度和国库集中收付制度，指导和监督全区国库业务，按规定开展国库现金管理工作。</w:t>
      </w:r>
    </w:p>
    <w:p w14:paraId="029D51BD">
      <w:pPr>
        <w:widowControl/>
        <w:adjustRightInd w:val="0"/>
        <w:snapToGrid w:val="0"/>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（五）制定需要全区统一规定的开支标准和支出政策，负责财政预算内行政机构、事业单位和社会团体的非贸易外汇管理。负责制定政府采购制度并监督管理。</w:t>
      </w:r>
    </w:p>
    <w:p w14:paraId="6D74D18C">
      <w:pPr>
        <w:widowControl/>
        <w:adjustRightInd w:val="0"/>
        <w:snapToGrid w:val="0"/>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（六）会同有关部门管理区级财政社会保障、就业及医疗卫生支出，会同有关部门拟订社会保障资金（基金）财务管理制度，编制区本级社会保障预决算草案。</w:t>
      </w:r>
    </w:p>
    <w:p w14:paraId="7D06C4FA">
      <w:pPr>
        <w:widowControl/>
        <w:adjustRightInd w:val="0"/>
        <w:snapToGrid w:val="0"/>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（七）负责审核和汇总编制全区国有资本经营预决算草案，制定国有资本经营预算的制度和办法，收取区本级企业国有资本收益，制定并组织执行企业财务制度，参与拟订企业国有资产管理相关制度。 </w:t>
      </w:r>
    </w:p>
    <w:p w14:paraId="0F56E2F4">
      <w:pPr>
        <w:widowControl/>
        <w:adjustRightInd w:val="0"/>
        <w:snapToGrid w:val="0"/>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（八）负责办理和监督区级财政经济发展支出、区级政府性投资项目财政拨款，参与拟订区本级建设投资的有关政策，制定基本建设财务制度。负责有关政策性补贴和专项储备资金财政管理工作。</w:t>
      </w:r>
    </w:p>
    <w:p w14:paraId="3C44BCC0">
      <w:pPr>
        <w:widowControl/>
        <w:adjustRightInd w:val="0"/>
        <w:snapToGrid w:val="0"/>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（九）管理全区会计工作，监督和规范会计行为。指导和管理社会审计工作。</w:t>
      </w:r>
    </w:p>
    <w:p w14:paraId="25A60652">
      <w:pPr>
        <w:widowControl/>
        <w:adjustRightInd w:val="0"/>
        <w:snapToGrid w:val="0"/>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（十）参与研究全区利用外资有关政策，管理外国政府和金融机构在本区贷款项目的有关业务。</w:t>
      </w:r>
    </w:p>
    <w:p w14:paraId="769C1D1A">
      <w:pPr>
        <w:widowControl/>
        <w:adjustRightInd w:val="0"/>
        <w:snapToGrid w:val="0"/>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（十一）监督检查财税法规、政策执行情况，提出加强财政管理的意见建议，反映财政收支管理中的重大问题。</w:t>
      </w:r>
    </w:p>
    <w:p w14:paraId="3FCA0264">
      <w:pPr>
        <w:widowControl/>
        <w:adjustRightInd w:val="0"/>
        <w:snapToGrid w:val="0"/>
        <w:spacing w:line="600"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kern w:val="0"/>
          <w:sz w:val="32"/>
          <w:szCs w:val="32"/>
        </w:rPr>
        <w:t>（十二）完成区委、区政府交办的其他任务。</w:t>
      </w:r>
    </w:p>
    <w:p w14:paraId="1D27ACB2">
      <w:pPr>
        <w:pStyle w:val="19"/>
        <w:numPr>
          <w:ilvl w:val="0"/>
          <w:numId w:val="0"/>
        </w:numPr>
        <w:bidi w:val="0"/>
        <w:ind w:left="420" w:leftChars="200" w:firstLine="320" w:firstLineChars="100"/>
        <w:rPr>
          <w:rFonts w:hint="eastAsia"/>
        </w:rPr>
      </w:pPr>
      <w:r>
        <w:rPr>
          <w:rFonts w:hint="eastAsia"/>
        </w:rPr>
        <w:t>二、机构设置及人员情况</w:t>
      </w:r>
    </w:p>
    <w:p w14:paraId="36976C8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sz w:val="32"/>
          <w:szCs w:val="30"/>
          <w:lang w:val="en-US" w:eastAsia="zh-CN"/>
        </w:rPr>
      </w:pPr>
      <w:r>
        <w:rPr>
          <w:rFonts w:hint="eastAsia" w:ascii="仿宋_GB2312" w:hAnsi="仿宋_GB2312" w:eastAsia="仿宋_GB2312" w:cs="仿宋_GB2312"/>
          <w:sz w:val="32"/>
          <w:szCs w:val="30"/>
        </w:rPr>
        <w:t>区</w:t>
      </w:r>
      <w:r>
        <w:rPr>
          <w:rFonts w:hint="eastAsia" w:ascii="仿宋_GB2312" w:hAnsi="仿宋_GB2312" w:eastAsia="仿宋_GB2312" w:cs="仿宋_GB2312"/>
          <w:sz w:val="32"/>
          <w:szCs w:val="30"/>
          <w:lang w:eastAsia="zh-CN"/>
        </w:rPr>
        <w:t>财政</w:t>
      </w:r>
      <w:r>
        <w:rPr>
          <w:rFonts w:hint="eastAsia" w:ascii="仿宋_GB2312" w:hAnsi="仿宋_GB2312" w:eastAsia="仿宋_GB2312" w:cs="仿宋_GB2312"/>
          <w:sz w:val="32"/>
          <w:szCs w:val="30"/>
        </w:rPr>
        <w:t>局共有预算单位</w:t>
      </w:r>
      <w:r>
        <w:rPr>
          <w:rFonts w:hint="eastAsia" w:ascii="仿宋_GB2312" w:hAnsi="仿宋_GB2312" w:eastAsia="仿宋_GB2312" w:cs="仿宋_GB2312"/>
          <w:sz w:val="32"/>
          <w:szCs w:val="30"/>
          <w:lang w:val="en-US" w:eastAsia="zh-CN"/>
        </w:rPr>
        <w:t>1</w:t>
      </w:r>
      <w:r>
        <w:rPr>
          <w:rFonts w:hint="eastAsia" w:ascii="仿宋_GB2312" w:hAnsi="仿宋_GB2312" w:eastAsia="仿宋_GB2312" w:cs="仿宋_GB2312"/>
          <w:sz w:val="32"/>
          <w:szCs w:val="30"/>
        </w:rPr>
        <w:t>个，包括：</w:t>
      </w:r>
      <w:r>
        <w:rPr>
          <w:rFonts w:hint="eastAsia" w:ascii="仿宋_GB2312" w:hAnsi="仿宋_GB2312" w:eastAsia="仿宋_GB2312" w:cs="仿宋_GB2312"/>
          <w:sz w:val="32"/>
          <w:szCs w:val="30"/>
          <w:lang w:val="en-US" w:eastAsia="zh-CN"/>
        </w:rPr>
        <w:t>1</w:t>
      </w:r>
      <w:r>
        <w:rPr>
          <w:rFonts w:hint="eastAsia" w:ascii="仿宋_GB2312" w:hAnsi="仿宋_GB2312" w:eastAsia="仿宋_GB2312" w:cs="仿宋_GB2312"/>
          <w:sz w:val="32"/>
          <w:szCs w:val="30"/>
        </w:rPr>
        <w:t>个</w:t>
      </w:r>
      <w:r>
        <w:rPr>
          <w:rFonts w:hint="eastAsia" w:ascii="仿宋_GB2312" w:hAnsi="仿宋_GB2312" w:eastAsia="仿宋_GB2312" w:cs="仿宋_GB2312"/>
          <w:sz w:val="32"/>
          <w:szCs w:val="30"/>
          <w:lang w:eastAsia="zh-CN"/>
        </w:rPr>
        <w:t>正</w:t>
      </w:r>
      <w:r>
        <w:rPr>
          <w:rFonts w:hint="eastAsia" w:ascii="仿宋_GB2312" w:hAnsi="仿宋_GB2312" w:eastAsia="仿宋_GB2312" w:cs="仿宋_GB2312"/>
          <w:sz w:val="32"/>
          <w:szCs w:val="30"/>
        </w:rPr>
        <w:t>科级事业单位。编制人数</w:t>
      </w:r>
      <w:r>
        <w:rPr>
          <w:rFonts w:hint="eastAsia" w:ascii="仿宋_GB2312" w:hAnsi="仿宋_GB2312" w:eastAsia="仿宋_GB2312" w:cs="仿宋_GB2312"/>
          <w:sz w:val="32"/>
          <w:szCs w:val="30"/>
          <w:lang w:val="en-US" w:eastAsia="zh-CN"/>
        </w:rPr>
        <w:t>77</w:t>
      </w:r>
      <w:r>
        <w:rPr>
          <w:rFonts w:hint="eastAsia" w:ascii="仿宋_GB2312" w:hAnsi="仿宋_GB2312" w:eastAsia="仿宋_GB2312" w:cs="仿宋_GB2312"/>
          <w:sz w:val="32"/>
          <w:szCs w:val="30"/>
        </w:rPr>
        <w:t>人，其中行政编制</w:t>
      </w:r>
      <w:r>
        <w:rPr>
          <w:rFonts w:hint="eastAsia" w:ascii="仿宋_GB2312" w:hAnsi="仿宋_GB2312" w:eastAsia="仿宋_GB2312" w:cs="仿宋_GB2312"/>
          <w:sz w:val="32"/>
          <w:szCs w:val="30"/>
          <w:lang w:val="en-US" w:eastAsia="zh-CN"/>
        </w:rPr>
        <w:t>24</w:t>
      </w:r>
      <w:r>
        <w:rPr>
          <w:rFonts w:hint="eastAsia" w:ascii="仿宋_GB2312" w:hAnsi="仿宋_GB2312" w:eastAsia="仿宋_GB2312" w:cs="仿宋_GB2312"/>
          <w:sz w:val="32"/>
          <w:szCs w:val="30"/>
        </w:rPr>
        <w:t>人，</w:t>
      </w:r>
      <w:r>
        <w:rPr>
          <w:rFonts w:hint="eastAsia" w:ascii="仿宋_GB2312" w:hAnsi="仿宋_GB2312" w:eastAsia="仿宋_GB2312" w:cs="仿宋_GB2312"/>
          <w:sz w:val="32"/>
          <w:szCs w:val="30"/>
          <w:lang w:eastAsia="zh-CN"/>
        </w:rPr>
        <w:t>工勤编</w:t>
      </w:r>
      <w:r>
        <w:rPr>
          <w:rFonts w:hint="eastAsia" w:ascii="仿宋_GB2312" w:hAnsi="仿宋_GB2312" w:eastAsia="仿宋_GB2312" w:cs="仿宋_GB2312"/>
          <w:sz w:val="32"/>
          <w:szCs w:val="30"/>
          <w:lang w:val="en-US" w:eastAsia="zh-CN"/>
        </w:rPr>
        <w:t>6人，</w:t>
      </w:r>
      <w:r>
        <w:rPr>
          <w:rFonts w:hint="eastAsia" w:ascii="仿宋_GB2312" w:hAnsi="仿宋_GB2312" w:eastAsia="仿宋_GB2312" w:cs="仿宋_GB2312"/>
          <w:sz w:val="32"/>
          <w:szCs w:val="30"/>
        </w:rPr>
        <w:t>全额补助事业编制</w:t>
      </w:r>
      <w:r>
        <w:rPr>
          <w:rFonts w:hint="eastAsia" w:ascii="仿宋_GB2312" w:hAnsi="仿宋_GB2312" w:eastAsia="仿宋_GB2312" w:cs="仿宋_GB2312"/>
          <w:sz w:val="32"/>
          <w:szCs w:val="30"/>
          <w:lang w:val="en-US" w:eastAsia="zh-CN"/>
        </w:rPr>
        <w:t>47</w:t>
      </w:r>
      <w:r>
        <w:rPr>
          <w:rFonts w:hint="eastAsia" w:ascii="仿宋_GB2312" w:hAnsi="仿宋_GB2312" w:eastAsia="仿宋_GB2312" w:cs="仿宋_GB2312"/>
          <w:sz w:val="32"/>
          <w:szCs w:val="30"/>
        </w:rPr>
        <w:t>人；年末实有人数</w:t>
      </w:r>
      <w:r>
        <w:rPr>
          <w:rFonts w:hint="eastAsia" w:ascii="仿宋_GB2312" w:hAnsi="仿宋_GB2312" w:eastAsia="仿宋_GB2312" w:cs="仿宋_GB2312"/>
          <w:sz w:val="32"/>
          <w:szCs w:val="30"/>
          <w:lang w:val="en-US" w:eastAsia="zh-CN"/>
        </w:rPr>
        <w:t>105</w:t>
      </w:r>
      <w:r>
        <w:rPr>
          <w:rFonts w:hint="eastAsia" w:ascii="仿宋_GB2312" w:hAnsi="仿宋_GB2312" w:eastAsia="仿宋_GB2312" w:cs="仿宋_GB2312"/>
          <w:sz w:val="32"/>
          <w:szCs w:val="30"/>
        </w:rPr>
        <w:t>人，其中在职人员</w:t>
      </w:r>
      <w:r>
        <w:rPr>
          <w:rFonts w:hint="eastAsia" w:ascii="仿宋_GB2312" w:hAnsi="仿宋_GB2312" w:eastAsia="仿宋_GB2312" w:cs="仿宋_GB2312"/>
          <w:sz w:val="32"/>
          <w:szCs w:val="30"/>
          <w:lang w:val="en-US" w:eastAsia="zh-CN"/>
        </w:rPr>
        <w:t>77</w:t>
      </w:r>
      <w:r>
        <w:rPr>
          <w:rFonts w:hint="eastAsia" w:ascii="仿宋_GB2312" w:hAnsi="仿宋_GB2312" w:eastAsia="仿宋_GB2312" w:cs="仿宋_GB2312"/>
          <w:sz w:val="32"/>
          <w:szCs w:val="30"/>
        </w:rPr>
        <w:t>人，退休人员</w:t>
      </w:r>
      <w:r>
        <w:rPr>
          <w:rFonts w:hint="eastAsia" w:ascii="仿宋_GB2312" w:hAnsi="仿宋_GB2312" w:eastAsia="仿宋_GB2312" w:cs="仿宋_GB2312"/>
          <w:sz w:val="32"/>
          <w:szCs w:val="30"/>
          <w:lang w:val="en-US" w:eastAsia="zh-CN"/>
        </w:rPr>
        <w:t>28</w:t>
      </w:r>
      <w:r>
        <w:rPr>
          <w:rFonts w:hint="eastAsia" w:ascii="仿宋_GB2312" w:hAnsi="仿宋_GB2312" w:eastAsia="仿宋_GB2312" w:cs="仿宋_GB2312"/>
          <w:sz w:val="32"/>
          <w:szCs w:val="30"/>
        </w:rPr>
        <w:t>人</w:t>
      </w:r>
      <w:r>
        <w:rPr>
          <w:rFonts w:hint="eastAsia" w:ascii="仿宋_GB2312" w:hAnsi="仿宋_GB2312" w:eastAsia="仿宋_GB2312" w:cs="仿宋_GB2312"/>
          <w:sz w:val="32"/>
          <w:szCs w:val="30"/>
          <w:lang w:eastAsia="zh-CN"/>
        </w:rPr>
        <w:t>。</w:t>
      </w:r>
    </w:p>
    <w:p w14:paraId="5126DB53">
      <w:pPr>
        <w:widowControl/>
        <w:spacing w:line="580" w:lineRule="exact"/>
        <w:jc w:val="center"/>
        <w:rPr>
          <w:rFonts w:ascii="仿宋_GB2312" w:eastAsia="仿宋_GB2312"/>
          <w:b/>
          <w:szCs w:val="30"/>
        </w:rPr>
      </w:pPr>
    </w:p>
    <w:p w14:paraId="32BE80A3">
      <w:pPr>
        <w:pStyle w:val="19"/>
        <w:numPr>
          <w:ilvl w:val="0"/>
          <w:numId w:val="0"/>
        </w:numPr>
        <w:bidi w:val="0"/>
        <w:ind w:left="420" w:leftChars="200"/>
        <w:jc w:val="center"/>
        <w:rPr>
          <w:rFonts w:hint="eastAsia"/>
          <w:lang w:eastAsia="zh-CN"/>
        </w:rPr>
      </w:pPr>
      <w:r>
        <w:rPr>
          <w:rFonts w:hint="eastAsia"/>
          <w:lang w:eastAsia="zh-CN"/>
        </w:rPr>
        <w:t>第二部分  新余市渝水区财政局（部门）2026年部门预算表</w:t>
      </w:r>
    </w:p>
    <w:p w14:paraId="1E956731">
      <w:pPr>
        <w:pStyle w:val="19"/>
        <w:numPr>
          <w:ilvl w:val="0"/>
          <w:numId w:val="0"/>
        </w:numPr>
        <w:bidi w:val="0"/>
        <w:ind w:left="420" w:leftChars="200"/>
        <w:rPr>
          <w:rFonts w:hint="eastAsia"/>
          <w:lang w:eastAsia="zh-CN"/>
        </w:rPr>
        <w:sectPr>
          <w:headerReference r:id="rId3" w:type="default"/>
          <w:pgSz w:w="11906" w:h="16838"/>
          <w:pgMar w:top="2098" w:right="1587" w:bottom="2098" w:left="1587" w:header="851" w:footer="992" w:gutter="0"/>
          <w:cols w:space="425" w:num="1"/>
          <w:docGrid w:type="lines" w:linePitch="312" w:charSpace="0"/>
        </w:sectPr>
      </w:pPr>
    </w:p>
    <w:tbl>
      <w:tblPr>
        <w:tblStyle w:val="7"/>
        <w:tblW w:w="5000" w:type="pct"/>
        <w:jc w:val="center"/>
        <w:tblLayout w:type="fixed"/>
        <w:tblCellMar>
          <w:top w:w="0" w:type="dxa"/>
          <w:left w:w="108" w:type="dxa"/>
          <w:bottom w:w="0" w:type="dxa"/>
          <w:right w:w="108" w:type="dxa"/>
        </w:tblCellMar>
      </w:tblPr>
      <w:tblGrid>
        <w:gridCol w:w="3122"/>
        <w:gridCol w:w="2249"/>
        <w:gridCol w:w="3535"/>
        <w:gridCol w:w="1775"/>
      </w:tblGrid>
      <w:tr w14:paraId="0E69A1BD">
        <w:tblPrEx>
          <w:tblCellMar>
            <w:top w:w="0" w:type="dxa"/>
            <w:left w:w="108" w:type="dxa"/>
            <w:bottom w:w="0" w:type="dxa"/>
            <w:right w:w="108" w:type="dxa"/>
          </w:tblCellMar>
        </w:tblPrEx>
        <w:trPr>
          <w:trHeight w:val="585" w:hRule="atLeast"/>
          <w:tblHeader/>
          <w:jc w:val="center"/>
        </w:trPr>
        <w:tc>
          <w:tcPr>
            <w:tcW w:w="5000" w:type="pct"/>
            <w:gridSpan w:val="4"/>
            <w:noWrap/>
            <w:vAlign w:val="center"/>
          </w:tcPr>
          <w:p w14:paraId="56526FDE">
            <w:pPr>
              <w:widowControl/>
              <w:jc w:val="center"/>
              <w:rPr>
                <w:rFonts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t>收支预算总表</w:t>
            </w:r>
          </w:p>
        </w:tc>
      </w:tr>
      <w:tr w14:paraId="357E5A9D">
        <w:tblPrEx>
          <w:tblCellMar>
            <w:top w:w="0" w:type="dxa"/>
            <w:left w:w="108" w:type="dxa"/>
            <w:bottom w:w="0" w:type="dxa"/>
            <w:right w:w="108" w:type="dxa"/>
          </w:tblCellMar>
        </w:tblPrEx>
        <w:trPr>
          <w:trHeight w:val="345" w:hRule="atLeast"/>
          <w:tblHeader/>
          <w:jc w:val="center"/>
        </w:trPr>
        <w:tc>
          <w:tcPr>
            <w:tcW w:w="2514" w:type="pct"/>
            <w:gridSpan w:val="2"/>
            <w:noWrap/>
            <w:vAlign w:val="center"/>
          </w:tcPr>
          <w:p w14:paraId="60F0437A">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填报单位:</w:t>
            </w:r>
            <w:r>
              <w:rPr>
                <w:rFonts w:hint="eastAsia" w:asciiTheme="minorEastAsia" w:hAnsiTheme="minorEastAsia" w:eastAsiaTheme="minorEastAsia" w:cstheme="minorEastAsia"/>
                <w:color w:val="000000"/>
                <w:kern w:val="0"/>
                <w:sz w:val="21"/>
                <w:szCs w:val="21"/>
                <w:lang w:eastAsia="zh-CN" w:bidi="ar"/>
              </w:rPr>
              <w:t>318新余市渝水区财政局（部门）</w:t>
            </w:r>
          </w:p>
        </w:tc>
        <w:tc>
          <w:tcPr>
            <w:tcW w:w="1655" w:type="pct"/>
            <w:noWrap/>
            <w:vAlign w:val="bottom"/>
          </w:tcPr>
          <w:p w14:paraId="7885F62A">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p>
        </w:tc>
        <w:tc>
          <w:tcPr>
            <w:tcW w:w="829" w:type="pct"/>
            <w:noWrap/>
            <w:vAlign w:val="center"/>
          </w:tcPr>
          <w:p w14:paraId="00BD1579">
            <w:pPr>
              <w:widowControl/>
              <w:snapToGrid w:val="0"/>
              <w:jc w:val="righ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单位：万元</w:t>
            </w:r>
          </w:p>
        </w:tc>
      </w:tr>
      <w:tr w14:paraId="5273B4AB">
        <w:tblPrEx>
          <w:tblCellMar>
            <w:top w:w="0" w:type="dxa"/>
            <w:left w:w="108" w:type="dxa"/>
            <w:bottom w:w="0" w:type="dxa"/>
            <w:right w:w="108" w:type="dxa"/>
          </w:tblCellMar>
        </w:tblPrEx>
        <w:trPr>
          <w:cantSplit/>
          <w:trHeight w:val="283" w:hRule="atLeast"/>
          <w:tblHeader/>
          <w:jc w:val="center"/>
        </w:trPr>
        <w:tc>
          <w:tcPr>
            <w:tcW w:w="2514" w:type="pct"/>
            <w:gridSpan w:val="2"/>
            <w:tcBorders>
              <w:top w:val="single" w:color="000000" w:sz="4" w:space="0"/>
              <w:left w:val="single" w:color="000000" w:sz="4" w:space="0"/>
              <w:bottom w:val="single" w:color="000000" w:sz="4" w:space="0"/>
              <w:right w:val="single" w:color="000000" w:sz="4" w:space="0"/>
            </w:tcBorders>
            <w:noWrap/>
            <w:vAlign w:val="center"/>
          </w:tcPr>
          <w:p w14:paraId="5AF8285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2485" w:type="pct"/>
            <w:gridSpan w:val="2"/>
            <w:tcBorders>
              <w:top w:val="single" w:color="000000" w:sz="4" w:space="0"/>
              <w:left w:val="nil"/>
              <w:bottom w:val="single" w:color="000000" w:sz="4" w:space="0"/>
              <w:right w:val="single" w:color="000000" w:sz="4" w:space="0"/>
            </w:tcBorders>
            <w:noWrap/>
            <w:vAlign w:val="center"/>
          </w:tcPr>
          <w:p w14:paraId="33048EA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       出</w:t>
            </w:r>
          </w:p>
        </w:tc>
      </w:tr>
      <w:tr w14:paraId="2ED694AD">
        <w:tblPrEx>
          <w:tblCellMar>
            <w:top w:w="0" w:type="dxa"/>
            <w:left w:w="108" w:type="dxa"/>
            <w:bottom w:w="0" w:type="dxa"/>
            <w:right w:w="108" w:type="dxa"/>
          </w:tblCellMar>
        </w:tblPrEx>
        <w:trPr>
          <w:cantSplit/>
          <w:trHeight w:val="283" w:hRule="atLeast"/>
          <w:tblHeader/>
          <w:jc w:val="center"/>
        </w:trPr>
        <w:tc>
          <w:tcPr>
            <w:tcW w:w="1461" w:type="pct"/>
            <w:tcBorders>
              <w:top w:val="nil"/>
              <w:left w:val="single" w:color="000000" w:sz="4" w:space="0"/>
              <w:bottom w:val="single" w:color="000000" w:sz="4" w:space="0"/>
              <w:right w:val="single" w:color="000000" w:sz="4" w:space="0"/>
            </w:tcBorders>
            <w:noWrap/>
            <w:vAlign w:val="center"/>
          </w:tcPr>
          <w:p w14:paraId="374EBD2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w:t>
            </w:r>
          </w:p>
        </w:tc>
        <w:tc>
          <w:tcPr>
            <w:tcW w:w="1053" w:type="pct"/>
            <w:tcBorders>
              <w:top w:val="nil"/>
              <w:left w:val="nil"/>
              <w:bottom w:val="nil"/>
              <w:right w:val="single" w:color="000000" w:sz="4" w:space="0"/>
            </w:tcBorders>
            <w:noWrap/>
            <w:vAlign w:val="center"/>
          </w:tcPr>
          <w:p w14:paraId="5B80134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c>
          <w:tcPr>
            <w:tcW w:w="1655" w:type="pct"/>
            <w:tcBorders>
              <w:top w:val="nil"/>
              <w:left w:val="nil"/>
              <w:bottom w:val="single" w:color="000000" w:sz="4" w:space="0"/>
              <w:right w:val="single" w:color="000000" w:sz="4" w:space="0"/>
            </w:tcBorders>
            <w:noWrap/>
            <w:vAlign w:val="center"/>
          </w:tcPr>
          <w:p w14:paraId="65AB91E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项目(按功能科目)</w:t>
            </w:r>
          </w:p>
        </w:tc>
        <w:tc>
          <w:tcPr>
            <w:tcW w:w="829" w:type="pct"/>
            <w:tcBorders>
              <w:top w:val="nil"/>
              <w:left w:val="nil"/>
              <w:bottom w:val="single" w:color="000000" w:sz="4" w:space="0"/>
              <w:right w:val="single" w:color="000000" w:sz="4" w:space="0"/>
            </w:tcBorders>
            <w:noWrap/>
            <w:vAlign w:val="center"/>
          </w:tcPr>
          <w:p w14:paraId="1D0EC8E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r>
      <w:tr w14:paraId="58570AB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2027D1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一、财政拨款</w:t>
            </w:r>
          </w:p>
        </w:tc>
        <w:tc>
          <w:tcPr>
            <w:tcW w:w="1053" w:type="pct"/>
            <w:tcBorders>
              <w:top w:val="single" w:color="000000" w:sz="4" w:space="0"/>
              <w:left w:val="nil"/>
              <w:bottom w:val="single" w:color="000000" w:sz="4" w:space="0"/>
              <w:right w:val="single" w:color="000000" w:sz="4" w:space="0"/>
            </w:tcBorders>
            <w:noWrap/>
            <w:vAlign w:val="center"/>
          </w:tcPr>
          <w:p w14:paraId="38F8949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2,036.12</w:t>
            </w:r>
          </w:p>
        </w:tc>
        <w:tc>
          <w:tcPr>
            <w:tcW w:w="1655" w:type="pct"/>
            <w:tcBorders>
              <w:top w:val="nil"/>
              <w:left w:val="nil"/>
              <w:bottom w:val="single" w:color="000000" w:sz="4" w:space="0"/>
              <w:right w:val="single" w:color="000000" w:sz="4" w:space="0"/>
            </w:tcBorders>
            <w:noWrap/>
            <w:vAlign w:val="center"/>
          </w:tcPr>
          <w:p w14:paraId="1B8E565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一般公共服务支出</w:t>
            </w:r>
          </w:p>
        </w:tc>
        <w:tc>
          <w:tcPr>
            <w:tcW w:w="829" w:type="pct"/>
            <w:tcBorders>
              <w:top w:val="nil"/>
              <w:left w:val="nil"/>
              <w:bottom w:val="single" w:color="000000" w:sz="4" w:space="0"/>
              <w:right w:val="single" w:color="000000" w:sz="4" w:space="0"/>
            </w:tcBorders>
            <w:noWrap/>
            <w:vAlign w:val="center"/>
          </w:tcPr>
          <w:p w14:paraId="40E66FE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1,523.74</w:t>
            </w:r>
          </w:p>
        </w:tc>
      </w:tr>
      <w:tr w14:paraId="437FC40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A07EBD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（一）一般公共预算收入</w:t>
            </w:r>
          </w:p>
        </w:tc>
        <w:tc>
          <w:tcPr>
            <w:tcW w:w="1053" w:type="pct"/>
            <w:tcBorders>
              <w:top w:val="nil"/>
              <w:left w:val="nil"/>
              <w:bottom w:val="single" w:color="000000" w:sz="4" w:space="0"/>
              <w:right w:val="single" w:color="000000" w:sz="4" w:space="0"/>
            </w:tcBorders>
            <w:vAlign w:val="center"/>
          </w:tcPr>
          <w:p w14:paraId="569C920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2,036.12</w:t>
            </w:r>
          </w:p>
        </w:tc>
        <w:tc>
          <w:tcPr>
            <w:tcW w:w="1655" w:type="pct"/>
            <w:tcBorders>
              <w:top w:val="nil"/>
              <w:left w:val="nil"/>
              <w:bottom w:val="single" w:color="000000" w:sz="4" w:space="0"/>
              <w:right w:val="single" w:color="000000" w:sz="4" w:space="0"/>
            </w:tcBorders>
            <w:noWrap/>
            <w:vAlign w:val="center"/>
          </w:tcPr>
          <w:p w14:paraId="2ED94AD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社会保障和就业支出</w:t>
            </w:r>
          </w:p>
        </w:tc>
        <w:tc>
          <w:tcPr>
            <w:tcW w:w="829" w:type="pct"/>
            <w:tcBorders>
              <w:top w:val="nil"/>
              <w:left w:val="nil"/>
              <w:bottom w:val="single" w:color="000000" w:sz="4" w:space="0"/>
              <w:right w:val="single" w:color="000000" w:sz="4" w:space="0"/>
            </w:tcBorders>
            <w:noWrap/>
            <w:vAlign w:val="center"/>
          </w:tcPr>
          <w:p w14:paraId="1D96D41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368.36</w:t>
            </w:r>
          </w:p>
        </w:tc>
      </w:tr>
      <w:tr w14:paraId="2CFD0FB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23888B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（二）政府性基金预算收入</w:t>
            </w:r>
          </w:p>
        </w:tc>
        <w:tc>
          <w:tcPr>
            <w:tcW w:w="1053" w:type="pct"/>
            <w:tcBorders>
              <w:top w:val="nil"/>
              <w:left w:val="nil"/>
              <w:bottom w:val="single" w:color="000000" w:sz="4" w:space="0"/>
              <w:right w:val="single" w:color="000000" w:sz="4" w:space="0"/>
            </w:tcBorders>
            <w:noWrap/>
            <w:vAlign w:val="center"/>
          </w:tcPr>
          <w:p w14:paraId="062305C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4C05E3F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卫生健康支出</w:t>
            </w:r>
          </w:p>
        </w:tc>
        <w:tc>
          <w:tcPr>
            <w:tcW w:w="829" w:type="pct"/>
            <w:tcBorders>
              <w:top w:val="nil"/>
              <w:left w:val="nil"/>
              <w:bottom w:val="single" w:color="000000" w:sz="4" w:space="0"/>
              <w:right w:val="single" w:color="000000" w:sz="4" w:space="0"/>
            </w:tcBorders>
            <w:noWrap/>
            <w:vAlign w:val="center"/>
          </w:tcPr>
          <w:p w14:paraId="636A81E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69.45</w:t>
            </w:r>
          </w:p>
        </w:tc>
      </w:tr>
      <w:tr w14:paraId="172765C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6176C3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（三）国有资本经营预算收入</w:t>
            </w:r>
          </w:p>
        </w:tc>
        <w:tc>
          <w:tcPr>
            <w:tcW w:w="1053" w:type="pct"/>
            <w:tcBorders>
              <w:top w:val="nil"/>
              <w:left w:val="nil"/>
              <w:bottom w:val="single" w:color="000000" w:sz="4" w:space="0"/>
              <w:right w:val="single" w:color="000000" w:sz="4" w:space="0"/>
            </w:tcBorders>
            <w:vAlign w:val="center"/>
          </w:tcPr>
          <w:p w14:paraId="1C3C562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5523B47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住房保障支出</w:t>
            </w:r>
          </w:p>
        </w:tc>
        <w:tc>
          <w:tcPr>
            <w:tcW w:w="829" w:type="pct"/>
            <w:tcBorders>
              <w:top w:val="nil"/>
              <w:left w:val="nil"/>
              <w:bottom w:val="single" w:color="000000" w:sz="4" w:space="0"/>
              <w:right w:val="single" w:color="000000" w:sz="4" w:space="0"/>
            </w:tcBorders>
            <w:noWrap/>
            <w:vAlign w:val="center"/>
          </w:tcPr>
          <w:p w14:paraId="31737D7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74.58</w:t>
            </w:r>
          </w:p>
        </w:tc>
      </w:tr>
      <w:tr w14:paraId="070B700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E3C416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二、教育收费资金收入</w:t>
            </w:r>
          </w:p>
        </w:tc>
        <w:tc>
          <w:tcPr>
            <w:tcW w:w="1053" w:type="pct"/>
            <w:tcBorders>
              <w:top w:val="nil"/>
              <w:left w:val="nil"/>
              <w:bottom w:val="single" w:color="000000" w:sz="4" w:space="0"/>
              <w:right w:val="single" w:color="000000" w:sz="4" w:space="0"/>
            </w:tcBorders>
            <w:vAlign w:val="center"/>
          </w:tcPr>
          <w:p w14:paraId="3B22E50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233182C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0A1B0F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34EBA1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AF4CDC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三、事业收入</w:t>
            </w:r>
          </w:p>
        </w:tc>
        <w:tc>
          <w:tcPr>
            <w:tcW w:w="1053" w:type="pct"/>
            <w:tcBorders>
              <w:top w:val="nil"/>
              <w:left w:val="nil"/>
              <w:bottom w:val="single" w:color="000000" w:sz="4" w:space="0"/>
              <w:right w:val="single" w:color="000000" w:sz="4" w:space="0"/>
            </w:tcBorders>
            <w:vAlign w:val="center"/>
          </w:tcPr>
          <w:p w14:paraId="5484FCC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1900201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262A38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3D3D13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C28F22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四、事业单位经营收入</w:t>
            </w:r>
          </w:p>
        </w:tc>
        <w:tc>
          <w:tcPr>
            <w:tcW w:w="1053" w:type="pct"/>
            <w:tcBorders>
              <w:top w:val="nil"/>
              <w:left w:val="nil"/>
              <w:bottom w:val="single" w:color="000000" w:sz="4" w:space="0"/>
              <w:right w:val="single" w:color="000000" w:sz="4" w:space="0"/>
            </w:tcBorders>
            <w:vAlign w:val="center"/>
          </w:tcPr>
          <w:p w14:paraId="5122ACB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3AA3E99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E2336F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4BA039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778BBE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五、附属单位上缴收入</w:t>
            </w:r>
          </w:p>
        </w:tc>
        <w:tc>
          <w:tcPr>
            <w:tcW w:w="1053" w:type="pct"/>
            <w:tcBorders>
              <w:top w:val="nil"/>
              <w:left w:val="nil"/>
              <w:bottom w:val="single" w:color="000000" w:sz="4" w:space="0"/>
              <w:right w:val="single" w:color="000000" w:sz="4" w:space="0"/>
            </w:tcBorders>
            <w:noWrap/>
            <w:vAlign w:val="center"/>
          </w:tcPr>
          <w:p w14:paraId="1F70DA3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68F7C95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0796AC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6CB3B6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08B4E3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六、上级补助收入</w:t>
            </w:r>
          </w:p>
        </w:tc>
        <w:tc>
          <w:tcPr>
            <w:tcW w:w="1053" w:type="pct"/>
            <w:tcBorders>
              <w:top w:val="nil"/>
              <w:left w:val="nil"/>
              <w:bottom w:val="single" w:color="000000" w:sz="4" w:space="0"/>
              <w:right w:val="single" w:color="000000" w:sz="4" w:space="0"/>
            </w:tcBorders>
            <w:noWrap/>
            <w:vAlign w:val="center"/>
          </w:tcPr>
          <w:p w14:paraId="2E7A3D9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03E83FD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FB7809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E45309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B485A8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七、其他收入</w:t>
            </w:r>
          </w:p>
        </w:tc>
        <w:tc>
          <w:tcPr>
            <w:tcW w:w="1053" w:type="pct"/>
            <w:tcBorders>
              <w:top w:val="nil"/>
              <w:left w:val="nil"/>
              <w:bottom w:val="single" w:color="000000" w:sz="4" w:space="0"/>
              <w:right w:val="single" w:color="000000" w:sz="4" w:space="0"/>
            </w:tcBorders>
            <w:noWrap/>
            <w:vAlign w:val="center"/>
          </w:tcPr>
          <w:p w14:paraId="104D2A4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33CA371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9A992E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A756F3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454E4A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7F96C25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9963AC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BD0DB6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2DA6CB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E2FCF02">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58ABE14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D63E95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A21496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01D973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252312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81FD63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486830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B3674F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53B64A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1C7C03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E68711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EB4135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ED8D52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EA044C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C192AC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48F057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3EA9B8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AE07AD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784612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EED0F4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532890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EAD7B2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01C2AA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A1ED40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2C9C6D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2183C9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58129C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C5D5F5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3E9256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4CD521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8C32B2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791FCD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A11C57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591356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905101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0862EE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91BD89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F4AE59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583C01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FCA859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E58156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219550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9375EC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2A8A1E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6ACF92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F4D978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4BD9AF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7DC208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05A28A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131139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F8457F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6695C3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2F542E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4E395C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6B2C34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A451DC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CC05B9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FD35D7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E6E1C4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DC0873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B70172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615784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3DA33D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32344B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24C759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F7C3D6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0D4A62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5E8255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5C8DDB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A49810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92FEAD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3193D8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D760CE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51C794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F27E92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7E28A0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4C99CB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E07AA7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34EECC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6EF293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8791AD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EAC88E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403529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3B3D53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E69742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C7315F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488FF7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9D4E6F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0EDBA9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auto" w:sz="4" w:space="0"/>
              <w:right w:val="single" w:color="000000" w:sz="4" w:space="0"/>
            </w:tcBorders>
            <w:noWrap/>
            <w:vAlign w:val="center"/>
          </w:tcPr>
          <w:p w14:paraId="2A539F8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本年收入合计</w:t>
            </w:r>
          </w:p>
        </w:tc>
        <w:tc>
          <w:tcPr>
            <w:tcW w:w="1053" w:type="pct"/>
            <w:tcBorders>
              <w:top w:val="nil"/>
              <w:left w:val="nil"/>
              <w:bottom w:val="single" w:color="auto" w:sz="4" w:space="0"/>
              <w:right w:val="single" w:color="000000" w:sz="4" w:space="0"/>
            </w:tcBorders>
            <w:vAlign w:val="center"/>
          </w:tcPr>
          <w:p w14:paraId="0F8D5D5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2,036.12</w:t>
            </w:r>
          </w:p>
        </w:tc>
        <w:tc>
          <w:tcPr>
            <w:tcW w:w="1655" w:type="pct"/>
            <w:tcBorders>
              <w:top w:val="nil"/>
              <w:left w:val="nil"/>
              <w:bottom w:val="single" w:color="auto" w:sz="4" w:space="0"/>
              <w:right w:val="single" w:color="000000" w:sz="4" w:space="0"/>
            </w:tcBorders>
            <w:noWrap/>
            <w:vAlign w:val="center"/>
          </w:tcPr>
          <w:p w14:paraId="384A62E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本年支出合计</w:t>
            </w:r>
          </w:p>
        </w:tc>
        <w:tc>
          <w:tcPr>
            <w:tcW w:w="829" w:type="pct"/>
            <w:tcBorders>
              <w:top w:val="nil"/>
              <w:left w:val="nil"/>
              <w:bottom w:val="single" w:color="auto" w:sz="4" w:space="0"/>
              <w:right w:val="single" w:color="000000" w:sz="4" w:space="0"/>
            </w:tcBorders>
            <w:noWrap/>
            <w:vAlign w:val="bottom"/>
          </w:tcPr>
          <w:p w14:paraId="298E64D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2,036.12</w:t>
            </w:r>
          </w:p>
        </w:tc>
      </w:tr>
      <w:tr w14:paraId="54A681B1">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56BAB0F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八、使用非财政拨款结余</w:t>
            </w:r>
          </w:p>
        </w:tc>
        <w:tc>
          <w:tcPr>
            <w:tcW w:w="1053" w:type="pct"/>
            <w:tcBorders>
              <w:top w:val="single" w:color="auto" w:sz="4" w:space="0"/>
              <w:left w:val="single" w:color="auto" w:sz="4" w:space="0"/>
              <w:bottom w:val="single" w:color="auto" w:sz="4" w:space="0"/>
              <w:right w:val="single" w:color="auto" w:sz="4" w:space="0"/>
            </w:tcBorders>
            <w:vAlign w:val="center"/>
          </w:tcPr>
          <w:p w14:paraId="17BFB23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single" w:color="auto" w:sz="4" w:space="0"/>
              <w:bottom w:val="single" w:color="auto" w:sz="4" w:space="0"/>
              <w:right w:val="single" w:color="auto" w:sz="4" w:space="0"/>
            </w:tcBorders>
            <w:noWrap/>
            <w:vAlign w:val="center"/>
          </w:tcPr>
          <w:p w14:paraId="34A43EE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结转下年</w:t>
            </w:r>
          </w:p>
        </w:tc>
        <w:tc>
          <w:tcPr>
            <w:tcW w:w="829" w:type="pct"/>
            <w:tcBorders>
              <w:top w:val="single" w:color="auto" w:sz="4" w:space="0"/>
              <w:left w:val="single" w:color="auto" w:sz="4" w:space="0"/>
              <w:bottom w:val="single" w:color="auto" w:sz="4" w:space="0"/>
              <w:right w:val="single" w:color="auto" w:sz="4" w:space="0"/>
            </w:tcBorders>
            <w:vAlign w:val="center"/>
          </w:tcPr>
          <w:p w14:paraId="04ADDCE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r>
      <w:tr w14:paraId="74BB09E8">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000000" w:sz="4" w:space="0"/>
              <w:bottom w:val="single" w:color="auto" w:sz="4" w:space="0"/>
              <w:right w:val="nil"/>
            </w:tcBorders>
            <w:noWrap/>
            <w:vAlign w:val="center"/>
          </w:tcPr>
          <w:p w14:paraId="0F910CC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九、上年结转（结余）</w:t>
            </w:r>
          </w:p>
        </w:tc>
        <w:tc>
          <w:tcPr>
            <w:tcW w:w="1053" w:type="pct"/>
            <w:tcBorders>
              <w:top w:val="single" w:color="auto" w:sz="4" w:space="0"/>
              <w:left w:val="single" w:color="000000" w:sz="4" w:space="0"/>
              <w:bottom w:val="single" w:color="auto" w:sz="4" w:space="0"/>
              <w:right w:val="single" w:color="000000" w:sz="4" w:space="0"/>
            </w:tcBorders>
            <w:noWrap/>
            <w:vAlign w:val="center"/>
          </w:tcPr>
          <w:p w14:paraId="7FACBD0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nil"/>
              <w:bottom w:val="single" w:color="auto" w:sz="4" w:space="0"/>
              <w:right w:val="single" w:color="000000" w:sz="4" w:space="0"/>
            </w:tcBorders>
            <w:noWrap/>
            <w:vAlign w:val="bottom"/>
          </w:tcPr>
          <w:p w14:paraId="5CB4DE0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829" w:type="pct"/>
            <w:tcBorders>
              <w:top w:val="single" w:color="auto" w:sz="4" w:space="0"/>
              <w:left w:val="nil"/>
              <w:bottom w:val="single" w:color="auto" w:sz="4" w:space="0"/>
              <w:right w:val="single" w:color="000000" w:sz="4" w:space="0"/>
            </w:tcBorders>
            <w:vAlign w:val="center"/>
          </w:tcPr>
          <w:p w14:paraId="21C8645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AAEA900">
        <w:tblPrEx>
          <w:tblCellMar>
            <w:top w:w="0" w:type="dxa"/>
            <w:left w:w="108" w:type="dxa"/>
            <w:bottom w:w="0" w:type="dxa"/>
            <w:right w:w="108" w:type="dxa"/>
          </w:tblCellMar>
        </w:tblPrEx>
        <w:trPr>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0DBFC6B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收入总计</w:t>
            </w:r>
          </w:p>
        </w:tc>
        <w:tc>
          <w:tcPr>
            <w:tcW w:w="1053" w:type="pct"/>
            <w:tcBorders>
              <w:top w:val="single" w:color="auto" w:sz="4" w:space="0"/>
              <w:left w:val="single" w:color="auto" w:sz="4" w:space="0"/>
              <w:bottom w:val="single" w:color="auto" w:sz="4" w:space="0"/>
              <w:right w:val="single" w:color="auto" w:sz="4" w:space="0"/>
            </w:tcBorders>
            <w:noWrap/>
            <w:vAlign w:val="center"/>
          </w:tcPr>
          <w:p w14:paraId="1C07288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2,036.12</w:t>
            </w:r>
          </w:p>
        </w:tc>
        <w:tc>
          <w:tcPr>
            <w:tcW w:w="1655" w:type="pct"/>
            <w:tcBorders>
              <w:top w:val="single" w:color="auto" w:sz="4" w:space="0"/>
              <w:left w:val="single" w:color="auto" w:sz="4" w:space="0"/>
              <w:bottom w:val="single" w:color="auto" w:sz="4" w:space="0"/>
              <w:right w:val="single" w:color="auto" w:sz="4" w:space="0"/>
            </w:tcBorders>
            <w:noWrap/>
            <w:vAlign w:val="center"/>
          </w:tcPr>
          <w:p w14:paraId="5F664EA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支出总计</w:t>
            </w:r>
          </w:p>
        </w:tc>
        <w:tc>
          <w:tcPr>
            <w:tcW w:w="829" w:type="pct"/>
            <w:tcBorders>
              <w:top w:val="single" w:color="auto" w:sz="4" w:space="0"/>
              <w:left w:val="single" w:color="auto" w:sz="4" w:space="0"/>
              <w:bottom w:val="single" w:color="auto" w:sz="4" w:space="0"/>
              <w:right w:val="single" w:color="auto" w:sz="4" w:space="0"/>
            </w:tcBorders>
            <w:noWrap/>
            <w:vAlign w:val="bottom"/>
          </w:tcPr>
          <w:p w14:paraId="6566A5E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2,036.12</w:t>
            </w:r>
          </w:p>
        </w:tc>
      </w:tr>
    </w:tbl>
    <w:p w14:paraId="106B7EAE">
      <w:pPr>
        <w:widowControl/>
        <w:jc w:val="left"/>
        <w:rPr>
          <w:rStyle w:val="14"/>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336" w:type="pct"/>
        <w:tblInd w:w="-329" w:type="dxa"/>
        <w:tblLayout w:type="fixed"/>
        <w:tblCellMar>
          <w:top w:w="0" w:type="dxa"/>
          <w:left w:w="108" w:type="dxa"/>
          <w:bottom w:w="0" w:type="dxa"/>
          <w:right w:w="108" w:type="dxa"/>
        </w:tblCellMar>
      </w:tblPr>
      <w:tblGrid>
        <w:gridCol w:w="1985"/>
        <w:gridCol w:w="898"/>
        <w:gridCol w:w="787"/>
        <w:gridCol w:w="865"/>
        <w:gridCol w:w="963"/>
        <w:gridCol w:w="625"/>
        <w:gridCol w:w="586"/>
        <w:gridCol w:w="661"/>
        <w:gridCol w:w="837"/>
        <w:gridCol w:w="761"/>
        <w:gridCol w:w="549"/>
        <w:gridCol w:w="499"/>
        <w:gridCol w:w="761"/>
        <w:gridCol w:w="623"/>
      </w:tblGrid>
      <w:tr w14:paraId="6E0BD39D">
        <w:tblPrEx>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shd w:val="clear" w:color="auto" w:fill="auto"/>
            <w:noWrap/>
            <w:vAlign w:val="center"/>
          </w:tcPr>
          <w:p w14:paraId="578FA4D8">
            <w:pPr>
              <w:widowControl/>
              <w:jc w:val="center"/>
              <w:rPr>
                <w:rFonts w:ascii="宋体" w:hAnsi="宋体" w:eastAsia="宋体" w:cs="Arial"/>
                <w:b/>
                <w:bCs/>
                <w:color w:val="000000"/>
                <w:kern w:val="0"/>
                <w:sz w:val="32"/>
                <w:szCs w:val="32"/>
              </w:rPr>
            </w:pPr>
            <w:r>
              <w:rPr>
                <w:rFonts w:hint="eastAsia" w:asciiTheme="minorEastAsia" w:hAnsiTheme="minorEastAsia" w:eastAsiaTheme="minorEastAsia" w:cstheme="minorEastAsia"/>
                <w:color w:val="000000"/>
                <w:sz w:val="18"/>
                <w:szCs w:val="18"/>
              </w:rPr>
              <w:t>部门收入总表</w:t>
            </w:r>
          </w:p>
        </w:tc>
      </w:tr>
      <w:tr w14:paraId="7C82D0F7">
        <w:tblPrEx>
          <w:tblCellMar>
            <w:top w:w="0" w:type="dxa"/>
            <w:left w:w="108" w:type="dxa"/>
            <w:bottom w:w="0" w:type="dxa"/>
            <w:right w:w="108" w:type="dxa"/>
          </w:tblCellMar>
        </w:tblPrEx>
        <w:trPr>
          <w:trHeight w:val="327" w:hRule="atLeast"/>
        </w:trPr>
        <w:tc>
          <w:tcPr>
            <w:tcW w:w="1989" w:type="pct"/>
            <w:gridSpan w:val="4"/>
            <w:tcBorders>
              <w:top w:val="nil"/>
              <w:left w:val="nil"/>
              <w:bottom w:val="single" w:color="auto" w:sz="4" w:space="0"/>
              <w:right w:val="nil"/>
            </w:tcBorders>
            <w:shd w:val="clear" w:color="auto" w:fill="auto"/>
            <w:noWrap/>
            <w:vAlign w:val="center"/>
          </w:tcPr>
          <w:p w14:paraId="676E532F">
            <w:pPr>
              <w:widowControl/>
              <w:jc w:val="left"/>
              <w:rPr>
                <w:rFonts w:ascii="Times New Roman" w:hAnsi="Times New Roman" w:eastAsia="Times New Roman" w:cs="Times New Roman"/>
                <w:kern w:val="0"/>
                <w:sz w:val="20"/>
                <w:szCs w:val="20"/>
              </w:rPr>
            </w:pPr>
            <w:r>
              <w:rPr>
                <w:rFonts w:hint="eastAsia" w:asciiTheme="minorEastAsia" w:hAnsiTheme="minorEastAsia" w:cstheme="minorEastAsia"/>
                <w:color w:val="000000"/>
                <w:kern w:val="0"/>
                <w:sz w:val="18"/>
                <w:szCs w:val="18"/>
                <w:lang w:eastAsia="zh-CN" w:bidi="ar"/>
              </w:rPr>
              <w:t>填报单位:318新余市渝水区财政局（部门）</w:t>
            </w:r>
          </w:p>
        </w:tc>
        <w:tc>
          <w:tcPr>
            <w:tcW w:w="422" w:type="pct"/>
            <w:tcBorders>
              <w:top w:val="nil"/>
              <w:left w:val="nil"/>
              <w:bottom w:val="single" w:color="auto" w:sz="4" w:space="0"/>
              <w:right w:val="nil"/>
            </w:tcBorders>
            <w:shd w:val="clear" w:color="auto" w:fill="auto"/>
            <w:noWrap/>
            <w:vAlign w:val="bottom"/>
          </w:tcPr>
          <w:p w14:paraId="67C1BA4D">
            <w:pPr>
              <w:widowControl/>
              <w:jc w:val="left"/>
              <w:rPr>
                <w:rFonts w:ascii="Times New Roman" w:hAnsi="Times New Roman" w:eastAsia="Times New Roman" w:cs="Times New Roman"/>
                <w:kern w:val="0"/>
                <w:sz w:val="20"/>
                <w:szCs w:val="20"/>
              </w:rPr>
            </w:pPr>
          </w:p>
        </w:tc>
        <w:tc>
          <w:tcPr>
            <w:tcW w:w="274" w:type="pct"/>
            <w:tcBorders>
              <w:top w:val="nil"/>
              <w:left w:val="nil"/>
              <w:bottom w:val="single" w:color="auto" w:sz="4" w:space="0"/>
              <w:right w:val="nil"/>
            </w:tcBorders>
            <w:shd w:val="clear" w:color="auto" w:fill="auto"/>
            <w:noWrap/>
            <w:vAlign w:val="bottom"/>
          </w:tcPr>
          <w:p w14:paraId="313F7C79">
            <w:pPr>
              <w:widowControl/>
              <w:jc w:val="left"/>
              <w:rPr>
                <w:rFonts w:ascii="Times New Roman" w:hAnsi="Times New Roman" w:eastAsia="Times New Roman" w:cs="Times New Roman"/>
                <w:kern w:val="0"/>
                <w:sz w:val="20"/>
                <w:szCs w:val="20"/>
              </w:rPr>
            </w:pPr>
          </w:p>
        </w:tc>
        <w:tc>
          <w:tcPr>
            <w:tcW w:w="257" w:type="pct"/>
            <w:tcBorders>
              <w:top w:val="nil"/>
              <w:left w:val="nil"/>
              <w:bottom w:val="single" w:color="auto" w:sz="4" w:space="0"/>
              <w:right w:val="nil"/>
            </w:tcBorders>
            <w:shd w:val="clear" w:color="auto" w:fill="auto"/>
            <w:noWrap/>
            <w:vAlign w:val="bottom"/>
          </w:tcPr>
          <w:p w14:paraId="4841E2E2">
            <w:pPr>
              <w:widowControl/>
              <w:jc w:val="left"/>
              <w:rPr>
                <w:rFonts w:ascii="Times New Roman" w:hAnsi="Times New Roman" w:eastAsia="Times New Roman" w:cs="Times New Roman"/>
                <w:kern w:val="0"/>
                <w:sz w:val="20"/>
                <w:szCs w:val="20"/>
              </w:rPr>
            </w:pPr>
          </w:p>
        </w:tc>
        <w:tc>
          <w:tcPr>
            <w:tcW w:w="290" w:type="pct"/>
            <w:tcBorders>
              <w:top w:val="nil"/>
              <w:left w:val="nil"/>
              <w:bottom w:val="single" w:color="auto" w:sz="4" w:space="0"/>
              <w:right w:val="nil"/>
            </w:tcBorders>
            <w:shd w:val="clear" w:color="auto" w:fill="auto"/>
            <w:noWrap/>
            <w:vAlign w:val="bottom"/>
          </w:tcPr>
          <w:p w14:paraId="508E5168">
            <w:pPr>
              <w:widowControl/>
              <w:jc w:val="left"/>
              <w:rPr>
                <w:rFonts w:ascii="Times New Roman" w:hAnsi="Times New Roman" w:eastAsia="Times New Roman" w:cs="Times New Roman"/>
                <w:kern w:val="0"/>
                <w:sz w:val="20"/>
                <w:szCs w:val="20"/>
              </w:rPr>
            </w:pPr>
          </w:p>
        </w:tc>
        <w:tc>
          <w:tcPr>
            <w:tcW w:w="367" w:type="pct"/>
            <w:tcBorders>
              <w:top w:val="nil"/>
              <w:left w:val="nil"/>
              <w:bottom w:val="single" w:color="auto" w:sz="4" w:space="0"/>
              <w:right w:val="nil"/>
            </w:tcBorders>
            <w:shd w:val="clear" w:color="auto" w:fill="auto"/>
            <w:noWrap/>
            <w:vAlign w:val="bottom"/>
          </w:tcPr>
          <w:p w14:paraId="2A51A11F">
            <w:pPr>
              <w:widowControl/>
              <w:jc w:val="left"/>
              <w:rPr>
                <w:rFonts w:ascii="Times New Roman" w:hAnsi="Times New Roman" w:eastAsia="Times New Roman" w:cs="Times New Roman"/>
                <w:kern w:val="0"/>
                <w:sz w:val="20"/>
                <w:szCs w:val="20"/>
              </w:rPr>
            </w:pPr>
          </w:p>
        </w:tc>
        <w:tc>
          <w:tcPr>
            <w:tcW w:w="334" w:type="pct"/>
            <w:tcBorders>
              <w:top w:val="nil"/>
              <w:left w:val="nil"/>
              <w:bottom w:val="single" w:color="auto" w:sz="4" w:space="0"/>
              <w:right w:val="nil"/>
            </w:tcBorders>
            <w:shd w:val="clear" w:color="auto" w:fill="auto"/>
            <w:noWrap/>
            <w:vAlign w:val="bottom"/>
          </w:tcPr>
          <w:p w14:paraId="63518C7F">
            <w:pPr>
              <w:widowControl/>
              <w:jc w:val="left"/>
              <w:rPr>
                <w:rFonts w:ascii="Times New Roman" w:hAnsi="Times New Roman" w:eastAsia="Times New Roman" w:cs="Times New Roman"/>
                <w:kern w:val="0"/>
                <w:sz w:val="20"/>
                <w:szCs w:val="20"/>
              </w:rPr>
            </w:pPr>
          </w:p>
        </w:tc>
        <w:tc>
          <w:tcPr>
            <w:tcW w:w="241" w:type="pct"/>
            <w:tcBorders>
              <w:top w:val="nil"/>
              <w:left w:val="nil"/>
              <w:bottom w:val="single" w:color="auto" w:sz="4" w:space="0"/>
              <w:right w:val="nil"/>
            </w:tcBorders>
            <w:shd w:val="clear" w:color="auto" w:fill="auto"/>
            <w:noWrap/>
            <w:vAlign w:val="bottom"/>
          </w:tcPr>
          <w:p w14:paraId="1CB64A18">
            <w:pPr>
              <w:widowControl/>
              <w:jc w:val="left"/>
              <w:rPr>
                <w:rFonts w:ascii="Times New Roman" w:hAnsi="Times New Roman" w:eastAsia="Times New Roman" w:cs="Times New Roman"/>
                <w:kern w:val="0"/>
                <w:sz w:val="20"/>
                <w:szCs w:val="20"/>
              </w:rPr>
            </w:pPr>
          </w:p>
        </w:tc>
        <w:tc>
          <w:tcPr>
            <w:tcW w:w="219" w:type="pct"/>
            <w:tcBorders>
              <w:top w:val="nil"/>
              <w:left w:val="nil"/>
              <w:bottom w:val="single" w:color="auto" w:sz="4" w:space="0"/>
              <w:right w:val="nil"/>
            </w:tcBorders>
            <w:shd w:val="clear" w:color="auto" w:fill="auto"/>
            <w:noWrap/>
            <w:vAlign w:val="bottom"/>
          </w:tcPr>
          <w:p w14:paraId="0AA5C1C4">
            <w:pPr>
              <w:widowControl/>
              <w:jc w:val="left"/>
              <w:rPr>
                <w:rFonts w:ascii="Times New Roman" w:hAnsi="Times New Roman" w:eastAsia="Times New Roman" w:cs="Times New Roman"/>
                <w:kern w:val="0"/>
                <w:sz w:val="20"/>
                <w:szCs w:val="20"/>
              </w:rPr>
            </w:pPr>
          </w:p>
        </w:tc>
        <w:tc>
          <w:tcPr>
            <w:tcW w:w="603" w:type="pct"/>
            <w:gridSpan w:val="2"/>
            <w:tcBorders>
              <w:top w:val="nil"/>
              <w:left w:val="nil"/>
              <w:bottom w:val="single" w:color="auto" w:sz="4" w:space="0"/>
              <w:right w:val="nil"/>
            </w:tcBorders>
            <w:shd w:val="clear" w:color="auto" w:fill="auto"/>
            <w:noWrap/>
            <w:vAlign w:val="bottom"/>
          </w:tcPr>
          <w:p w14:paraId="5C170C90">
            <w:pPr>
              <w:widowControl/>
              <w:jc w:val="right"/>
              <w:rPr>
                <w:rFonts w:hint="eastAsia" w:ascii="宋体" w:hAnsi="宋体" w:eastAsia="宋体" w:cs="宋体"/>
                <w:color w:val="000000"/>
                <w:kern w:val="0"/>
                <w:sz w:val="18"/>
                <w:szCs w:val="18"/>
                <w:lang w:eastAsia="zh-CN" w:bidi="ar"/>
              </w:rPr>
            </w:pPr>
            <w:r>
              <w:rPr>
                <w:rFonts w:hint="eastAsia" w:asciiTheme="minorEastAsia" w:hAnsiTheme="minorEastAsia" w:cstheme="minorEastAsia"/>
                <w:color w:val="000000"/>
                <w:kern w:val="0"/>
                <w:sz w:val="18"/>
                <w:szCs w:val="18"/>
                <w:lang w:eastAsia="zh-CN" w:bidi="ar"/>
              </w:rPr>
              <w:t>单位：万元</w:t>
            </w:r>
          </w:p>
        </w:tc>
      </w:tr>
      <w:tr w14:paraId="1112DAB2">
        <w:tblPrEx>
          <w:tblCellMar>
            <w:top w:w="0" w:type="dxa"/>
            <w:left w:w="108" w:type="dxa"/>
            <w:bottom w:w="0" w:type="dxa"/>
            <w:right w:w="108" w:type="dxa"/>
          </w:tblCellMar>
        </w:tblPrEx>
        <w:trPr>
          <w:cantSplit/>
          <w:trHeight w:val="283" w:hRule="atLeast"/>
        </w:trPr>
        <w:tc>
          <w:tcPr>
            <w:tcW w:w="871" w:type="pct"/>
            <w:vMerge w:val="restart"/>
            <w:tcBorders>
              <w:top w:val="single" w:color="auto" w:sz="4" w:space="0"/>
              <w:left w:val="single" w:color="auto" w:sz="4" w:space="0"/>
              <w:right w:val="single" w:color="auto" w:sz="4" w:space="0"/>
            </w:tcBorders>
            <w:shd w:val="clear" w:color="auto" w:fill="auto"/>
            <w:noWrap/>
            <w:vAlign w:val="center"/>
          </w:tcPr>
          <w:p w14:paraId="4D683BD1">
            <w:pPr>
              <w:widowControl/>
              <w:snapToGrid w:val="0"/>
              <w:jc w:val="center"/>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color w:val="000000"/>
                <w:kern w:val="0"/>
                <w:sz w:val="13"/>
                <w:szCs w:val="13"/>
                <w:lang w:val="en-US" w:eastAsia="zh-CN" w:bidi="ar"/>
              </w:rPr>
              <w:t>单位名称</w:t>
            </w:r>
          </w:p>
        </w:tc>
        <w:tc>
          <w:tcPr>
            <w:tcW w:w="394"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EE68DEB">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合计</w:t>
            </w:r>
          </w:p>
        </w:tc>
        <w:tc>
          <w:tcPr>
            <w:tcW w:w="34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867CA74">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上年结转</w:t>
            </w:r>
          </w:p>
        </w:tc>
        <w:tc>
          <w:tcPr>
            <w:tcW w:w="1332"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90D59AA">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财政拨款</w:t>
            </w:r>
          </w:p>
        </w:tc>
        <w:tc>
          <w:tcPr>
            <w:tcW w:w="2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101DD86">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教育收费资金收入</w:t>
            </w:r>
          </w:p>
        </w:tc>
        <w:tc>
          <w:tcPr>
            <w:tcW w:w="36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BA932AC">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事业收入</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50A0B9C">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事业单位经营收入</w:t>
            </w:r>
          </w:p>
        </w:tc>
        <w:tc>
          <w:tcPr>
            <w:tcW w:w="24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26AD7F7">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附属单位上缴收入</w:t>
            </w:r>
          </w:p>
        </w:tc>
        <w:tc>
          <w:tcPr>
            <w:tcW w:w="2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019F2F0">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上级补助收入</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71F076D">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其他收入</w:t>
            </w:r>
          </w:p>
        </w:tc>
        <w:tc>
          <w:tcPr>
            <w:tcW w:w="2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EA3E1BF">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使用非财政拨款结余</w:t>
            </w:r>
          </w:p>
        </w:tc>
      </w:tr>
      <w:tr w14:paraId="5C257A15">
        <w:tblPrEx>
          <w:tblCellMar>
            <w:top w:w="0" w:type="dxa"/>
            <w:left w:w="108" w:type="dxa"/>
            <w:bottom w:w="0" w:type="dxa"/>
            <w:right w:w="108" w:type="dxa"/>
          </w:tblCellMar>
        </w:tblPrEx>
        <w:trPr>
          <w:cantSplit/>
          <w:trHeight w:val="554" w:hRule="atLeast"/>
        </w:trPr>
        <w:tc>
          <w:tcPr>
            <w:tcW w:w="871" w:type="pct"/>
            <w:vMerge w:val="continue"/>
            <w:tcBorders>
              <w:left w:val="single" w:color="auto" w:sz="4" w:space="0"/>
              <w:bottom w:val="single" w:color="auto" w:sz="4" w:space="0"/>
              <w:right w:val="single" w:color="auto" w:sz="4" w:space="0"/>
            </w:tcBorders>
            <w:vAlign w:val="center"/>
          </w:tcPr>
          <w:p w14:paraId="3B5B68B2">
            <w:pPr>
              <w:widowControl/>
              <w:jc w:val="left"/>
              <w:rPr>
                <w:rFonts w:ascii="宋体" w:hAnsi="宋体" w:eastAsia="宋体" w:cs="Arial"/>
                <w:color w:val="000000"/>
                <w:kern w:val="0"/>
                <w:sz w:val="13"/>
                <w:szCs w:val="13"/>
              </w:rPr>
            </w:pPr>
          </w:p>
        </w:tc>
        <w:tc>
          <w:tcPr>
            <w:tcW w:w="394" w:type="pct"/>
            <w:vMerge w:val="continue"/>
            <w:tcBorders>
              <w:top w:val="single" w:color="auto" w:sz="4" w:space="0"/>
              <w:left w:val="single" w:color="auto" w:sz="4" w:space="0"/>
              <w:bottom w:val="single" w:color="auto" w:sz="4" w:space="0"/>
              <w:right w:val="single" w:color="auto" w:sz="4" w:space="0"/>
            </w:tcBorders>
            <w:vAlign w:val="center"/>
          </w:tcPr>
          <w:p w14:paraId="4959915F">
            <w:pPr>
              <w:widowControl/>
              <w:jc w:val="left"/>
              <w:rPr>
                <w:rFonts w:ascii="宋体" w:hAnsi="宋体" w:eastAsia="宋体" w:cs="Arial"/>
                <w:color w:val="000000"/>
                <w:kern w:val="0"/>
                <w:sz w:val="13"/>
                <w:szCs w:val="13"/>
              </w:rPr>
            </w:pPr>
          </w:p>
        </w:tc>
        <w:tc>
          <w:tcPr>
            <w:tcW w:w="345" w:type="pct"/>
            <w:vMerge w:val="continue"/>
            <w:tcBorders>
              <w:top w:val="single" w:color="auto" w:sz="4" w:space="0"/>
              <w:left w:val="single" w:color="auto" w:sz="4" w:space="0"/>
              <w:bottom w:val="single" w:color="auto" w:sz="4" w:space="0"/>
              <w:right w:val="single" w:color="auto" w:sz="4" w:space="0"/>
            </w:tcBorders>
            <w:vAlign w:val="center"/>
          </w:tcPr>
          <w:p w14:paraId="0D9CA63B">
            <w:pPr>
              <w:widowControl/>
              <w:jc w:val="left"/>
              <w:rPr>
                <w:rFonts w:ascii="宋体" w:hAnsi="宋体" w:eastAsia="宋体" w:cs="Arial"/>
                <w:color w:val="000000"/>
                <w:kern w:val="0"/>
                <w:sz w:val="13"/>
                <w:szCs w:val="13"/>
              </w:rPr>
            </w:pPr>
          </w:p>
        </w:tc>
        <w:tc>
          <w:tcPr>
            <w:tcW w:w="378" w:type="pct"/>
            <w:tcBorders>
              <w:top w:val="single" w:color="auto" w:sz="4" w:space="0"/>
              <w:left w:val="single" w:color="auto" w:sz="4" w:space="0"/>
              <w:bottom w:val="single" w:color="auto" w:sz="4" w:space="0"/>
              <w:right w:val="single" w:color="auto" w:sz="4" w:space="0"/>
            </w:tcBorders>
            <w:shd w:val="clear" w:color="auto" w:fill="auto"/>
            <w:vAlign w:val="center"/>
          </w:tcPr>
          <w:p w14:paraId="5347F945">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小计</w:t>
            </w:r>
          </w:p>
        </w:tc>
        <w:tc>
          <w:tcPr>
            <w:tcW w:w="422" w:type="pct"/>
            <w:tcBorders>
              <w:top w:val="single" w:color="auto" w:sz="4" w:space="0"/>
              <w:left w:val="single" w:color="auto" w:sz="4" w:space="0"/>
              <w:bottom w:val="single" w:color="auto" w:sz="4" w:space="0"/>
              <w:right w:val="single" w:color="auto" w:sz="4" w:space="0"/>
            </w:tcBorders>
            <w:shd w:val="clear" w:color="auto" w:fill="auto"/>
            <w:vAlign w:val="center"/>
          </w:tcPr>
          <w:p w14:paraId="149F4FC2">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一般公共预算拨款收入</w:t>
            </w:r>
          </w:p>
        </w:tc>
        <w:tc>
          <w:tcPr>
            <w:tcW w:w="274" w:type="pct"/>
            <w:tcBorders>
              <w:top w:val="single" w:color="auto" w:sz="4" w:space="0"/>
              <w:left w:val="single" w:color="auto" w:sz="4" w:space="0"/>
              <w:bottom w:val="single" w:color="auto" w:sz="4" w:space="0"/>
              <w:right w:val="single" w:color="auto" w:sz="4" w:space="0"/>
            </w:tcBorders>
            <w:shd w:val="clear" w:color="auto" w:fill="auto"/>
            <w:vAlign w:val="center"/>
          </w:tcPr>
          <w:p w14:paraId="33329EAF">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政府性基金预算拨款收入</w:t>
            </w:r>
          </w:p>
        </w:tc>
        <w:tc>
          <w:tcPr>
            <w:tcW w:w="257" w:type="pct"/>
            <w:tcBorders>
              <w:top w:val="single" w:color="auto" w:sz="4" w:space="0"/>
              <w:left w:val="single" w:color="auto" w:sz="4" w:space="0"/>
              <w:bottom w:val="single" w:color="auto" w:sz="4" w:space="0"/>
              <w:right w:val="single" w:color="auto" w:sz="4" w:space="0"/>
            </w:tcBorders>
            <w:shd w:val="clear" w:color="auto" w:fill="auto"/>
            <w:vAlign w:val="center"/>
          </w:tcPr>
          <w:p w14:paraId="338AD5EC">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国有资本经营预算收入</w:t>
            </w:r>
          </w:p>
        </w:tc>
        <w:tc>
          <w:tcPr>
            <w:tcW w:w="290" w:type="pct"/>
            <w:vMerge w:val="continue"/>
            <w:tcBorders>
              <w:top w:val="single" w:color="auto" w:sz="4" w:space="0"/>
              <w:left w:val="single" w:color="auto" w:sz="4" w:space="0"/>
              <w:bottom w:val="single" w:color="auto" w:sz="4" w:space="0"/>
              <w:right w:val="single" w:color="auto" w:sz="4" w:space="0"/>
            </w:tcBorders>
            <w:vAlign w:val="center"/>
          </w:tcPr>
          <w:p w14:paraId="5D355705">
            <w:pPr>
              <w:widowControl/>
              <w:jc w:val="left"/>
              <w:rPr>
                <w:rFonts w:ascii="宋体" w:hAnsi="宋体" w:eastAsia="宋体" w:cs="Arial"/>
                <w:color w:val="000000"/>
                <w:kern w:val="0"/>
                <w:sz w:val="13"/>
                <w:szCs w:val="13"/>
              </w:rPr>
            </w:pPr>
          </w:p>
        </w:tc>
        <w:tc>
          <w:tcPr>
            <w:tcW w:w="367" w:type="pct"/>
            <w:vMerge w:val="continue"/>
            <w:tcBorders>
              <w:top w:val="single" w:color="auto" w:sz="4" w:space="0"/>
              <w:left w:val="single" w:color="auto" w:sz="4" w:space="0"/>
              <w:bottom w:val="single" w:color="auto" w:sz="4" w:space="0"/>
              <w:right w:val="single" w:color="auto" w:sz="4" w:space="0"/>
            </w:tcBorders>
            <w:vAlign w:val="center"/>
          </w:tcPr>
          <w:p w14:paraId="3069A788">
            <w:pPr>
              <w:widowControl/>
              <w:jc w:val="left"/>
              <w:rPr>
                <w:rFonts w:ascii="宋体" w:hAnsi="宋体" w:eastAsia="宋体" w:cs="Arial"/>
                <w:color w:val="000000"/>
                <w:kern w:val="0"/>
                <w:sz w:val="13"/>
                <w:szCs w:val="13"/>
              </w:rPr>
            </w:pPr>
          </w:p>
        </w:tc>
        <w:tc>
          <w:tcPr>
            <w:tcW w:w="334" w:type="pct"/>
            <w:vMerge w:val="continue"/>
            <w:tcBorders>
              <w:top w:val="single" w:color="auto" w:sz="4" w:space="0"/>
              <w:left w:val="single" w:color="auto" w:sz="4" w:space="0"/>
              <w:bottom w:val="single" w:color="auto" w:sz="4" w:space="0"/>
              <w:right w:val="single" w:color="auto" w:sz="4" w:space="0"/>
            </w:tcBorders>
            <w:vAlign w:val="center"/>
          </w:tcPr>
          <w:p w14:paraId="3C17858E">
            <w:pPr>
              <w:widowControl/>
              <w:jc w:val="left"/>
              <w:rPr>
                <w:rFonts w:ascii="宋体" w:hAnsi="宋体" w:eastAsia="宋体" w:cs="Arial"/>
                <w:color w:val="000000"/>
                <w:kern w:val="0"/>
                <w:sz w:val="13"/>
                <w:szCs w:val="13"/>
              </w:rPr>
            </w:pPr>
          </w:p>
        </w:tc>
        <w:tc>
          <w:tcPr>
            <w:tcW w:w="241" w:type="pct"/>
            <w:vMerge w:val="continue"/>
            <w:tcBorders>
              <w:top w:val="single" w:color="auto" w:sz="4" w:space="0"/>
              <w:left w:val="single" w:color="auto" w:sz="4" w:space="0"/>
              <w:bottom w:val="single" w:color="auto" w:sz="4" w:space="0"/>
              <w:right w:val="single" w:color="auto" w:sz="4" w:space="0"/>
            </w:tcBorders>
            <w:vAlign w:val="center"/>
          </w:tcPr>
          <w:p w14:paraId="054CF62C">
            <w:pPr>
              <w:widowControl/>
              <w:jc w:val="left"/>
              <w:rPr>
                <w:rFonts w:ascii="宋体" w:hAnsi="宋体" w:eastAsia="宋体" w:cs="Arial"/>
                <w:color w:val="000000"/>
                <w:kern w:val="0"/>
                <w:sz w:val="13"/>
                <w:szCs w:val="13"/>
              </w:rPr>
            </w:pPr>
          </w:p>
        </w:tc>
        <w:tc>
          <w:tcPr>
            <w:tcW w:w="219" w:type="pct"/>
            <w:vMerge w:val="continue"/>
            <w:tcBorders>
              <w:top w:val="single" w:color="auto" w:sz="4" w:space="0"/>
              <w:left w:val="single" w:color="auto" w:sz="4" w:space="0"/>
              <w:bottom w:val="single" w:color="auto" w:sz="4" w:space="0"/>
              <w:right w:val="single" w:color="auto" w:sz="4" w:space="0"/>
            </w:tcBorders>
            <w:vAlign w:val="center"/>
          </w:tcPr>
          <w:p w14:paraId="7C526751">
            <w:pPr>
              <w:widowControl/>
              <w:jc w:val="left"/>
              <w:rPr>
                <w:rFonts w:ascii="宋体" w:hAnsi="宋体" w:eastAsia="宋体" w:cs="Arial"/>
                <w:color w:val="000000"/>
                <w:kern w:val="0"/>
                <w:sz w:val="13"/>
                <w:szCs w:val="13"/>
              </w:rPr>
            </w:pPr>
          </w:p>
        </w:tc>
        <w:tc>
          <w:tcPr>
            <w:tcW w:w="334" w:type="pct"/>
            <w:vMerge w:val="continue"/>
            <w:tcBorders>
              <w:top w:val="single" w:color="auto" w:sz="4" w:space="0"/>
              <w:left w:val="single" w:color="auto" w:sz="4" w:space="0"/>
              <w:bottom w:val="single" w:color="auto" w:sz="4" w:space="0"/>
              <w:right w:val="single" w:color="auto" w:sz="4" w:space="0"/>
            </w:tcBorders>
            <w:vAlign w:val="center"/>
          </w:tcPr>
          <w:p w14:paraId="11C8B409">
            <w:pPr>
              <w:widowControl/>
              <w:jc w:val="left"/>
              <w:rPr>
                <w:rFonts w:ascii="宋体" w:hAnsi="宋体" w:eastAsia="宋体" w:cs="Arial"/>
                <w:color w:val="000000"/>
                <w:kern w:val="0"/>
                <w:sz w:val="13"/>
                <w:szCs w:val="13"/>
              </w:rPr>
            </w:pPr>
          </w:p>
        </w:tc>
        <w:tc>
          <w:tcPr>
            <w:tcW w:w="268" w:type="pct"/>
            <w:vMerge w:val="continue"/>
            <w:tcBorders>
              <w:top w:val="single" w:color="auto" w:sz="4" w:space="0"/>
              <w:left w:val="single" w:color="auto" w:sz="4" w:space="0"/>
              <w:bottom w:val="single" w:color="auto" w:sz="4" w:space="0"/>
              <w:right w:val="single" w:color="auto" w:sz="4" w:space="0"/>
            </w:tcBorders>
            <w:vAlign w:val="center"/>
          </w:tcPr>
          <w:p w14:paraId="5D1C0ABC">
            <w:pPr>
              <w:widowControl/>
              <w:jc w:val="left"/>
              <w:rPr>
                <w:rFonts w:ascii="宋体" w:hAnsi="宋体" w:eastAsia="宋体" w:cs="Arial"/>
                <w:color w:val="000000"/>
                <w:kern w:val="0"/>
                <w:sz w:val="13"/>
                <w:szCs w:val="13"/>
              </w:rPr>
            </w:pPr>
          </w:p>
        </w:tc>
      </w:tr>
      <w:tr w14:paraId="430A2E54">
        <w:tblPrEx>
          <w:tblCellMar>
            <w:top w:w="0" w:type="dxa"/>
            <w:left w:w="108" w:type="dxa"/>
            <w:bottom w:w="0" w:type="dxa"/>
            <w:right w:w="108" w:type="dxa"/>
          </w:tblCellMar>
        </w:tblPrEx>
        <w:trPr>
          <w:cantSplit/>
          <w:trHeight w:val="283"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D3F8820">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E87A68">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1</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BC99C0">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2</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183C26">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3</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8F40C1">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4</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77FA33">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5</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5F0E20">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6</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52050C">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7</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3ACD7D">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8</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69777D">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9</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857877">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lang w:val="en-US" w:eastAsia="zh-CN"/>
              </w:rPr>
              <w:t>1</w:t>
            </w:r>
            <w:r>
              <w:rPr>
                <w:rFonts w:hint="eastAsia" w:ascii="宋体" w:hAnsi="宋体" w:eastAsia="宋体" w:cs="Arial"/>
                <w:color w:val="000000"/>
                <w:kern w:val="0"/>
                <w:sz w:val="13"/>
                <w:szCs w:val="13"/>
              </w:rPr>
              <w:t>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5FC6FD">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11</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6B2A54">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12</w:t>
            </w:r>
          </w:p>
        </w:tc>
        <w:tc>
          <w:tcPr>
            <w:tcW w:w="26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E27A10">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13</w:t>
            </w:r>
          </w:p>
        </w:tc>
      </w:tr>
      <w:tr w14:paraId="273891C9">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0D2CB1">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合计</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ACD8F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2,036.12</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BD438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8782F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2,036.12</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4A494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2,036.12</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86E42A">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FAA7D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A99BB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02197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486B3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5534C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294C6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333190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49A0FFC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r w14:paraId="0C58B3CF">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59D68E">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新余市渝水区财政局</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4FDF5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2,036.12</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BBB8A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52A75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2,036.12</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F46B8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2,036.12</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9538D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F3C71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E98CE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1A59A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FB3EB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2E3C4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B871F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4735A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4E7FAAF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bl>
    <w:p w14:paraId="25BAE0F7">
      <w:pPr>
        <w:widowControl/>
        <w:jc w:val="left"/>
        <w:rPr>
          <w:rStyle w:val="14"/>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000" w:type="pct"/>
        <w:tblInd w:w="0" w:type="dxa"/>
        <w:tblLayout w:type="fixed"/>
        <w:tblCellMar>
          <w:top w:w="0" w:type="dxa"/>
          <w:left w:w="108" w:type="dxa"/>
          <w:bottom w:w="0" w:type="dxa"/>
          <w:right w:w="108" w:type="dxa"/>
        </w:tblCellMar>
      </w:tblPr>
      <w:tblGrid>
        <w:gridCol w:w="1958"/>
        <w:gridCol w:w="3881"/>
        <w:gridCol w:w="1952"/>
        <w:gridCol w:w="1378"/>
        <w:gridCol w:w="1513"/>
      </w:tblGrid>
      <w:tr w14:paraId="630DDAA3">
        <w:tblPrEx>
          <w:tblCellMar>
            <w:top w:w="0" w:type="dxa"/>
            <w:left w:w="108" w:type="dxa"/>
            <w:bottom w:w="0" w:type="dxa"/>
            <w:right w:w="108" w:type="dxa"/>
          </w:tblCellMar>
        </w:tblPrEx>
        <w:trPr>
          <w:trHeight w:val="585" w:hRule="atLeast"/>
        </w:trPr>
        <w:tc>
          <w:tcPr>
            <w:tcW w:w="5000" w:type="pct"/>
            <w:gridSpan w:val="5"/>
            <w:tcBorders>
              <w:top w:val="nil"/>
              <w:left w:val="nil"/>
              <w:bottom w:val="nil"/>
              <w:right w:val="nil"/>
            </w:tcBorders>
            <w:shd w:val="clear" w:color="auto" w:fill="auto"/>
            <w:noWrap/>
            <w:vAlign w:val="center"/>
          </w:tcPr>
          <w:p w14:paraId="5FD0298B">
            <w:pPr>
              <w:widowControl/>
              <w:jc w:val="center"/>
              <w:rPr>
                <w:rFonts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部门支出总表</w:t>
            </w:r>
          </w:p>
        </w:tc>
      </w:tr>
      <w:tr w14:paraId="661CE922">
        <w:tblPrEx>
          <w:tblCellMar>
            <w:top w:w="0" w:type="dxa"/>
            <w:left w:w="108" w:type="dxa"/>
            <w:bottom w:w="0" w:type="dxa"/>
            <w:right w:w="108" w:type="dxa"/>
          </w:tblCellMar>
        </w:tblPrEx>
        <w:trPr>
          <w:trHeight w:val="420" w:hRule="atLeast"/>
        </w:trPr>
        <w:tc>
          <w:tcPr>
            <w:tcW w:w="2733" w:type="pct"/>
            <w:gridSpan w:val="2"/>
            <w:tcBorders>
              <w:top w:val="nil"/>
              <w:left w:val="nil"/>
              <w:bottom w:val="nil"/>
              <w:right w:val="nil"/>
            </w:tcBorders>
            <w:shd w:val="clear" w:color="auto" w:fill="auto"/>
            <w:noWrap/>
            <w:vAlign w:val="center"/>
          </w:tcPr>
          <w:p w14:paraId="139A8A3E">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w:t>
            </w:r>
            <w:r>
              <w:rPr>
                <w:rFonts w:hint="eastAsia" w:asciiTheme="minorEastAsia" w:hAnsiTheme="minorEastAsia" w:cstheme="minorEastAsia"/>
                <w:color w:val="000000"/>
                <w:kern w:val="0"/>
                <w:sz w:val="18"/>
                <w:szCs w:val="18"/>
                <w:lang w:eastAsia="zh-CN" w:bidi="ar"/>
              </w:rPr>
              <w:t>318新余市渝水区财政局（部门）</w:t>
            </w:r>
          </w:p>
        </w:tc>
        <w:tc>
          <w:tcPr>
            <w:tcW w:w="914" w:type="pct"/>
            <w:tcBorders>
              <w:top w:val="nil"/>
              <w:left w:val="nil"/>
              <w:bottom w:val="nil"/>
              <w:right w:val="nil"/>
            </w:tcBorders>
            <w:shd w:val="clear" w:color="auto" w:fill="auto"/>
            <w:noWrap/>
            <w:vAlign w:val="bottom"/>
          </w:tcPr>
          <w:p w14:paraId="60BA2F17">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45" w:type="pct"/>
            <w:tcBorders>
              <w:top w:val="nil"/>
              <w:left w:val="nil"/>
              <w:bottom w:val="nil"/>
              <w:right w:val="nil"/>
            </w:tcBorders>
            <w:shd w:val="clear" w:color="auto" w:fill="auto"/>
            <w:noWrap/>
            <w:vAlign w:val="bottom"/>
          </w:tcPr>
          <w:p w14:paraId="199B950C">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705" w:type="pct"/>
            <w:tcBorders>
              <w:top w:val="nil"/>
              <w:left w:val="nil"/>
              <w:bottom w:val="nil"/>
              <w:right w:val="nil"/>
            </w:tcBorders>
            <w:shd w:val="clear" w:color="auto" w:fill="auto"/>
            <w:noWrap/>
            <w:vAlign w:val="bottom"/>
          </w:tcPr>
          <w:p w14:paraId="6E8B3263">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3DCF0C19">
        <w:tblPrEx>
          <w:tblCellMar>
            <w:top w:w="0" w:type="dxa"/>
            <w:left w:w="108" w:type="dxa"/>
            <w:bottom w:w="0" w:type="dxa"/>
            <w:right w:w="108" w:type="dxa"/>
          </w:tblCellMar>
        </w:tblPrEx>
        <w:trPr>
          <w:cantSplit/>
          <w:trHeight w:val="283" w:hRule="atLeast"/>
        </w:trPr>
        <w:tc>
          <w:tcPr>
            <w:tcW w:w="2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CA53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914" w:type="pct"/>
            <w:vMerge w:val="restart"/>
            <w:tcBorders>
              <w:top w:val="single" w:color="000000" w:sz="4" w:space="0"/>
              <w:left w:val="single" w:color="000000" w:sz="4" w:space="0"/>
              <w:bottom w:val="single" w:color="000000" w:sz="4" w:space="0"/>
              <w:right w:val="nil"/>
            </w:tcBorders>
            <w:shd w:val="clear" w:color="auto" w:fill="auto"/>
            <w:vAlign w:val="center"/>
          </w:tcPr>
          <w:p w14:paraId="50F1FE8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45" w:type="pct"/>
            <w:vMerge w:val="restart"/>
            <w:tcBorders>
              <w:top w:val="single" w:color="000000" w:sz="4" w:space="0"/>
              <w:left w:val="single" w:color="000000" w:sz="4" w:space="0"/>
              <w:bottom w:val="single" w:color="000000" w:sz="4" w:space="0"/>
              <w:right w:val="nil"/>
            </w:tcBorders>
            <w:shd w:val="clear" w:color="auto" w:fill="auto"/>
            <w:noWrap/>
            <w:vAlign w:val="center"/>
          </w:tcPr>
          <w:p w14:paraId="46C16FA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3385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47CBB46F">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single" w:color="000000" w:sz="4" w:space="0"/>
              <w:right w:val="single" w:color="000000" w:sz="4" w:space="0"/>
            </w:tcBorders>
            <w:shd w:val="clear" w:color="auto" w:fill="auto"/>
            <w:noWrap/>
            <w:vAlign w:val="center"/>
          </w:tcPr>
          <w:p w14:paraId="5B08819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816" w:type="pct"/>
            <w:tcBorders>
              <w:top w:val="nil"/>
              <w:left w:val="nil"/>
              <w:bottom w:val="single" w:color="000000" w:sz="4" w:space="0"/>
              <w:right w:val="single" w:color="000000" w:sz="4" w:space="0"/>
            </w:tcBorders>
            <w:shd w:val="clear" w:color="auto" w:fill="auto"/>
            <w:noWrap/>
            <w:vAlign w:val="center"/>
          </w:tcPr>
          <w:p w14:paraId="0031D9F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914" w:type="pct"/>
            <w:vMerge w:val="continue"/>
            <w:tcBorders>
              <w:top w:val="single" w:color="000000" w:sz="4" w:space="0"/>
              <w:left w:val="single" w:color="000000" w:sz="4" w:space="0"/>
              <w:bottom w:val="single" w:color="000000" w:sz="4" w:space="0"/>
              <w:right w:val="nil"/>
            </w:tcBorders>
            <w:vAlign w:val="center"/>
          </w:tcPr>
          <w:p w14:paraId="25FFF1C3">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45" w:type="pct"/>
            <w:vMerge w:val="continue"/>
            <w:tcBorders>
              <w:top w:val="single" w:color="000000" w:sz="4" w:space="0"/>
              <w:left w:val="single" w:color="000000" w:sz="4" w:space="0"/>
              <w:bottom w:val="single" w:color="000000" w:sz="4" w:space="0"/>
              <w:right w:val="nil"/>
            </w:tcBorders>
            <w:vAlign w:val="center"/>
          </w:tcPr>
          <w:p w14:paraId="7362BA22">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705" w:type="pct"/>
            <w:vMerge w:val="continue"/>
            <w:tcBorders>
              <w:top w:val="single" w:color="000000" w:sz="4" w:space="0"/>
              <w:left w:val="single" w:color="000000" w:sz="4" w:space="0"/>
              <w:bottom w:val="single" w:color="000000" w:sz="4" w:space="0"/>
              <w:right w:val="single" w:color="000000" w:sz="4" w:space="0"/>
            </w:tcBorders>
            <w:vAlign w:val="center"/>
          </w:tcPr>
          <w:p w14:paraId="75B8A4B5">
            <w:pPr>
              <w:widowControl/>
              <w:snapToGrid w:val="0"/>
              <w:jc w:val="center"/>
              <w:textAlignment w:val="center"/>
              <w:rPr>
                <w:rFonts w:hint="eastAsia" w:asciiTheme="minorEastAsia" w:hAnsiTheme="minorEastAsia" w:cstheme="minorEastAsia"/>
                <w:color w:val="000000"/>
                <w:kern w:val="0"/>
                <w:sz w:val="18"/>
                <w:szCs w:val="18"/>
                <w:lang w:bidi="ar"/>
              </w:rPr>
            </w:pPr>
          </w:p>
        </w:tc>
      </w:tr>
      <w:tr w14:paraId="1AA7B97F">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nil"/>
              <w:right w:val="single" w:color="000000" w:sz="4" w:space="0"/>
            </w:tcBorders>
            <w:shd w:val="clear" w:color="auto" w:fill="auto"/>
            <w:noWrap/>
            <w:vAlign w:val="center"/>
          </w:tcPr>
          <w:p w14:paraId="7C93193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816" w:type="pct"/>
            <w:tcBorders>
              <w:top w:val="nil"/>
              <w:left w:val="nil"/>
              <w:bottom w:val="nil"/>
              <w:right w:val="single" w:color="000000" w:sz="4" w:space="0"/>
            </w:tcBorders>
            <w:shd w:val="clear" w:color="auto" w:fill="auto"/>
            <w:noWrap/>
            <w:vAlign w:val="center"/>
          </w:tcPr>
          <w:p w14:paraId="621B7C5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914" w:type="pct"/>
            <w:tcBorders>
              <w:top w:val="nil"/>
              <w:left w:val="nil"/>
              <w:bottom w:val="nil"/>
              <w:right w:val="single" w:color="000000" w:sz="4" w:space="0"/>
            </w:tcBorders>
            <w:shd w:val="clear" w:color="auto" w:fill="auto"/>
            <w:noWrap/>
            <w:vAlign w:val="center"/>
          </w:tcPr>
          <w:p w14:paraId="0D18DCE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45" w:type="pct"/>
            <w:tcBorders>
              <w:top w:val="nil"/>
              <w:left w:val="nil"/>
              <w:bottom w:val="nil"/>
              <w:right w:val="single" w:color="000000" w:sz="4" w:space="0"/>
            </w:tcBorders>
            <w:shd w:val="clear" w:color="auto" w:fill="auto"/>
            <w:noWrap/>
            <w:vAlign w:val="center"/>
          </w:tcPr>
          <w:p w14:paraId="50F8BC05">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705" w:type="pct"/>
            <w:tcBorders>
              <w:top w:val="nil"/>
              <w:left w:val="nil"/>
              <w:bottom w:val="nil"/>
              <w:right w:val="single" w:color="000000" w:sz="4" w:space="0"/>
            </w:tcBorders>
            <w:shd w:val="clear" w:color="auto" w:fill="auto"/>
            <w:noWrap/>
            <w:vAlign w:val="center"/>
          </w:tcPr>
          <w:p w14:paraId="58345B65">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21322F93">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EB7B3">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F9C936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5B15B3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2,036.12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D68F65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1,736.12</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44B9D8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300.00</w:t>
            </w:r>
          </w:p>
        </w:tc>
      </w:tr>
      <w:tr w14:paraId="2FCB28CE">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60F7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C952C9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一般公共服务支出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939219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1,523.74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362280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1,223.74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BE5699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300.00</w:t>
            </w:r>
          </w:p>
        </w:tc>
      </w:tr>
      <w:tr w14:paraId="641A7303">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885A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20106</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431D36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财政事务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34BE348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1,523.74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78FEFE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1,223.74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88B98F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300.00</w:t>
            </w:r>
          </w:p>
        </w:tc>
      </w:tr>
      <w:tr w14:paraId="022C099C">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12F1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2010601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01E454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620588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1,223.74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0D6415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1,223.74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A604A3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39280C77">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CB9E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2010699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A89863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其他财政事务支出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F6FEFB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300.00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EEDEF8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79BF34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300.00</w:t>
            </w:r>
          </w:p>
        </w:tc>
      </w:tr>
      <w:tr w14:paraId="29C1E535">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7F81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8AF608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A6083B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368.36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7D8339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368.36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FDBF8F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51A4679">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DEB1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98172C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3D9F64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368.36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502FEE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368.36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CBE0B4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B224F69">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54B6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6B8A36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行政单位离退休</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3BDF07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123.25</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5EFCEC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123.25</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D3744A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4649929B">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58DA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3B7CE6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8495AD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163.41</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BBD5FB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163.41</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D310E0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4A3B5654">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437F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2080506</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F75273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机关事业单位职业年金缴费支出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028A92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81.70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93BC52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81.70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B59F5F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0C41072F">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C3DC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4DDC4C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6D1CB7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69.45</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41B67F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69.45</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FE8935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64CD39C">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2B93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B8CF8C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351056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69.45</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A584F5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69.45</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99C852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D7E009E">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2387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520FE1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16AD4D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69.45</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084A68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69.45</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D768B2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37F29FB3">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B5D7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2101103</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12CF8B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公务员医疗补助</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1398BC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721F26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2E80D6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26D0DA94">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A762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6E2E58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632F93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74.58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F8F8FC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74.58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806959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39B3FE65">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8A07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487EBD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11A6DA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74.58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ECA417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74.58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50D13E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CEBEA45">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3444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0A8ECF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440305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74.58</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1AAF72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74.58</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B9D5BE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00CCC599">
      <w:pPr>
        <w:widowControl/>
        <w:jc w:val="left"/>
        <w:rPr>
          <w:rStyle w:val="14"/>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4995" w:type="pct"/>
        <w:tblInd w:w="0" w:type="dxa"/>
        <w:tblLayout w:type="fixed"/>
        <w:tblCellMar>
          <w:top w:w="0" w:type="dxa"/>
          <w:left w:w="108" w:type="dxa"/>
          <w:bottom w:w="0" w:type="dxa"/>
          <w:right w:w="108" w:type="dxa"/>
        </w:tblCellMar>
      </w:tblPr>
      <w:tblGrid>
        <w:gridCol w:w="2066"/>
        <w:gridCol w:w="1404"/>
        <w:gridCol w:w="2023"/>
        <w:gridCol w:w="1232"/>
        <w:gridCol w:w="1306"/>
        <w:gridCol w:w="1285"/>
        <w:gridCol w:w="1355"/>
      </w:tblGrid>
      <w:tr w14:paraId="067050E1">
        <w:tblPrEx>
          <w:tblCellMar>
            <w:top w:w="0" w:type="dxa"/>
            <w:left w:w="108" w:type="dxa"/>
            <w:bottom w:w="0" w:type="dxa"/>
            <w:right w:w="108" w:type="dxa"/>
          </w:tblCellMar>
        </w:tblPrEx>
        <w:trPr>
          <w:trHeight w:val="585" w:hRule="atLeast"/>
          <w:tblHeader/>
        </w:trPr>
        <w:tc>
          <w:tcPr>
            <w:tcW w:w="5000" w:type="pct"/>
            <w:gridSpan w:val="7"/>
            <w:noWrap/>
            <w:vAlign w:val="center"/>
          </w:tcPr>
          <w:p w14:paraId="228D34C2">
            <w:pPr>
              <w:widowControl/>
              <w:jc w:val="center"/>
              <w:rPr>
                <w:rFonts w:hint="eastAsia"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财政拨款收支总表</w:t>
            </w:r>
          </w:p>
        </w:tc>
      </w:tr>
      <w:tr w14:paraId="5DFE309C">
        <w:tblPrEx>
          <w:tblCellMar>
            <w:top w:w="0" w:type="dxa"/>
            <w:left w:w="108" w:type="dxa"/>
            <w:bottom w:w="0" w:type="dxa"/>
            <w:right w:w="108" w:type="dxa"/>
          </w:tblCellMar>
        </w:tblPrEx>
        <w:trPr>
          <w:cantSplit/>
          <w:trHeight w:val="346" w:hRule="atLeast"/>
          <w:tblHeader/>
        </w:trPr>
        <w:tc>
          <w:tcPr>
            <w:tcW w:w="2574" w:type="pct"/>
            <w:gridSpan w:val="3"/>
            <w:noWrap/>
            <w:vAlign w:val="center"/>
          </w:tcPr>
          <w:p w14:paraId="102C0595">
            <w:pPr>
              <w:widowControl/>
              <w:snapToGrid w:val="0"/>
              <w:jc w:val="lef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填报单位:318新余市渝水区财政局（部门）</w:t>
            </w:r>
          </w:p>
        </w:tc>
        <w:tc>
          <w:tcPr>
            <w:tcW w:w="577" w:type="pct"/>
            <w:noWrap/>
            <w:vAlign w:val="bottom"/>
          </w:tcPr>
          <w:p w14:paraId="07339F4F">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12" w:type="pct"/>
            <w:noWrap/>
            <w:vAlign w:val="bottom"/>
          </w:tcPr>
          <w:p w14:paraId="5D974910">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235" w:type="pct"/>
            <w:gridSpan w:val="2"/>
            <w:noWrap/>
            <w:vAlign w:val="center"/>
          </w:tcPr>
          <w:p w14:paraId="1227D27C">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单位：万元</w:t>
            </w:r>
          </w:p>
        </w:tc>
      </w:tr>
      <w:tr w14:paraId="3E4F8786">
        <w:tblPrEx>
          <w:tblCellMar>
            <w:top w:w="0" w:type="dxa"/>
            <w:left w:w="108" w:type="dxa"/>
            <w:bottom w:w="0" w:type="dxa"/>
            <w:right w:w="108" w:type="dxa"/>
          </w:tblCellMar>
        </w:tblPrEx>
        <w:trPr>
          <w:cantSplit/>
          <w:trHeight w:val="283" w:hRule="atLeast"/>
          <w:tblHeader/>
        </w:trPr>
        <w:tc>
          <w:tcPr>
            <w:tcW w:w="1626" w:type="pct"/>
            <w:gridSpan w:val="2"/>
            <w:tcBorders>
              <w:top w:val="single" w:color="000000" w:sz="4" w:space="0"/>
              <w:left w:val="single" w:color="000000" w:sz="4" w:space="0"/>
              <w:bottom w:val="single" w:color="000000" w:sz="4" w:space="0"/>
              <w:right w:val="nil"/>
            </w:tcBorders>
            <w:noWrap/>
            <w:vAlign w:val="center"/>
          </w:tcPr>
          <w:p w14:paraId="6180D4C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3373" w:type="pct"/>
            <w:gridSpan w:val="5"/>
            <w:tcBorders>
              <w:top w:val="single" w:color="000000" w:sz="4" w:space="0"/>
              <w:left w:val="single" w:color="000000" w:sz="4" w:space="0"/>
              <w:bottom w:val="single" w:color="000000" w:sz="4" w:space="0"/>
              <w:right w:val="single" w:color="000000" w:sz="4" w:space="0"/>
            </w:tcBorders>
            <w:noWrap/>
            <w:vAlign w:val="center"/>
          </w:tcPr>
          <w:p w14:paraId="7ADB89C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w:t>
            </w:r>
            <w:r>
              <w:rPr>
                <w:rFonts w:hint="eastAsia" w:asciiTheme="minorEastAsia" w:hAnsiTheme="minorEastAsia" w:cstheme="minorEastAsia"/>
                <w:color w:val="000000"/>
                <w:kern w:val="0"/>
                <w:sz w:val="21"/>
                <w:szCs w:val="21"/>
                <w:lang w:val="en-US" w:eastAsia="zh-CN" w:bidi="ar"/>
              </w:rPr>
              <w:t xml:space="preserve">      </w:t>
            </w:r>
            <w:r>
              <w:rPr>
                <w:rFonts w:hint="eastAsia" w:asciiTheme="minorEastAsia" w:hAnsiTheme="minorEastAsia" w:eastAsiaTheme="minorEastAsia" w:cstheme="minorEastAsia"/>
                <w:color w:val="000000"/>
                <w:kern w:val="0"/>
                <w:sz w:val="21"/>
                <w:szCs w:val="21"/>
                <w:lang w:bidi="ar"/>
              </w:rPr>
              <w:t xml:space="preserve">出 </w:t>
            </w:r>
          </w:p>
        </w:tc>
      </w:tr>
      <w:tr w14:paraId="5EFC20A1">
        <w:tblPrEx>
          <w:tblCellMar>
            <w:top w:w="0" w:type="dxa"/>
            <w:left w:w="108" w:type="dxa"/>
            <w:bottom w:w="0" w:type="dxa"/>
            <w:right w:w="108" w:type="dxa"/>
          </w:tblCellMar>
        </w:tblPrEx>
        <w:trPr>
          <w:cantSplit/>
          <w:trHeight w:val="283" w:hRule="atLeast"/>
          <w:tblHeader/>
        </w:trPr>
        <w:tc>
          <w:tcPr>
            <w:tcW w:w="968" w:type="pct"/>
            <w:tcBorders>
              <w:top w:val="nil"/>
              <w:left w:val="single" w:color="000000" w:sz="4" w:space="0"/>
              <w:bottom w:val="single" w:color="000000" w:sz="4" w:space="0"/>
              <w:right w:val="single" w:color="000000" w:sz="4" w:space="0"/>
            </w:tcBorders>
            <w:noWrap/>
            <w:vAlign w:val="center"/>
          </w:tcPr>
          <w:p w14:paraId="13BFA3B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w:t>
            </w:r>
          </w:p>
        </w:tc>
        <w:tc>
          <w:tcPr>
            <w:tcW w:w="657" w:type="pct"/>
            <w:tcBorders>
              <w:top w:val="nil"/>
              <w:left w:val="nil"/>
              <w:bottom w:val="nil"/>
              <w:right w:val="single" w:color="000000" w:sz="4" w:space="0"/>
            </w:tcBorders>
            <w:noWrap/>
            <w:vAlign w:val="center"/>
          </w:tcPr>
          <w:p w14:paraId="49F79D3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预算数</w:t>
            </w:r>
          </w:p>
        </w:tc>
        <w:tc>
          <w:tcPr>
            <w:tcW w:w="948" w:type="pct"/>
            <w:tcBorders>
              <w:top w:val="nil"/>
              <w:left w:val="nil"/>
              <w:bottom w:val="single" w:color="000000" w:sz="4" w:space="0"/>
              <w:right w:val="single" w:color="000000" w:sz="4" w:space="0"/>
            </w:tcBorders>
            <w:noWrap/>
            <w:vAlign w:val="center"/>
          </w:tcPr>
          <w:p w14:paraId="45BAE86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项目(按功能科目)</w:t>
            </w:r>
          </w:p>
        </w:tc>
        <w:tc>
          <w:tcPr>
            <w:tcW w:w="577" w:type="pct"/>
            <w:tcBorders>
              <w:top w:val="nil"/>
              <w:left w:val="nil"/>
              <w:bottom w:val="single" w:color="000000" w:sz="4" w:space="0"/>
              <w:right w:val="single" w:color="000000" w:sz="4" w:space="0"/>
            </w:tcBorders>
            <w:noWrap/>
            <w:vAlign w:val="center"/>
          </w:tcPr>
          <w:p w14:paraId="6E10C11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合计</w:t>
            </w:r>
          </w:p>
        </w:tc>
        <w:tc>
          <w:tcPr>
            <w:tcW w:w="612" w:type="pct"/>
            <w:tcBorders>
              <w:top w:val="nil"/>
              <w:left w:val="nil"/>
              <w:bottom w:val="single" w:color="000000" w:sz="4" w:space="0"/>
              <w:right w:val="single" w:color="000000" w:sz="4" w:space="0"/>
            </w:tcBorders>
            <w:noWrap/>
            <w:vAlign w:val="center"/>
          </w:tcPr>
          <w:p w14:paraId="5017F2D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一般公共预算支出</w:t>
            </w:r>
          </w:p>
        </w:tc>
        <w:tc>
          <w:tcPr>
            <w:tcW w:w="602" w:type="pct"/>
            <w:tcBorders>
              <w:top w:val="nil"/>
              <w:left w:val="nil"/>
              <w:bottom w:val="single" w:color="000000" w:sz="4" w:space="0"/>
              <w:right w:val="single" w:color="000000" w:sz="4" w:space="0"/>
            </w:tcBorders>
            <w:noWrap/>
            <w:vAlign w:val="center"/>
          </w:tcPr>
          <w:p w14:paraId="00B36EE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政府性基金预算支出</w:t>
            </w:r>
          </w:p>
        </w:tc>
        <w:tc>
          <w:tcPr>
            <w:tcW w:w="632" w:type="pct"/>
            <w:tcBorders>
              <w:top w:val="nil"/>
              <w:left w:val="nil"/>
              <w:bottom w:val="single" w:color="000000" w:sz="4" w:space="0"/>
              <w:right w:val="single" w:color="000000" w:sz="4" w:space="0"/>
            </w:tcBorders>
            <w:noWrap/>
            <w:vAlign w:val="center"/>
          </w:tcPr>
          <w:p w14:paraId="3F13FAA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国有资本经营预算支出</w:t>
            </w:r>
          </w:p>
        </w:tc>
      </w:tr>
      <w:tr w14:paraId="0768BA4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92A2A5F">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w:t>
            </w:r>
            <w:r>
              <w:rPr>
                <w:rFonts w:hint="eastAsia" w:asciiTheme="minorEastAsia" w:hAnsiTheme="minorEastAsia" w:cstheme="minorEastAsia"/>
                <w:color w:val="000000"/>
                <w:kern w:val="0"/>
                <w:sz w:val="21"/>
                <w:szCs w:val="21"/>
                <w:lang w:val="en-US" w:eastAsia="zh-CN" w:bidi="ar"/>
              </w:rPr>
              <w:t>本年</w:t>
            </w:r>
            <w:r>
              <w:rPr>
                <w:rFonts w:hint="eastAsia" w:asciiTheme="minorEastAsia" w:hAnsiTheme="minorEastAsia" w:cstheme="minorEastAsia"/>
                <w:color w:val="000000"/>
                <w:kern w:val="0"/>
                <w:sz w:val="21"/>
                <w:szCs w:val="21"/>
                <w:lang w:bidi="ar"/>
              </w:rPr>
              <w:t>收入</w:t>
            </w:r>
          </w:p>
        </w:tc>
        <w:tc>
          <w:tcPr>
            <w:tcW w:w="657" w:type="pct"/>
            <w:tcBorders>
              <w:top w:val="single" w:color="000000" w:sz="4" w:space="0"/>
              <w:left w:val="nil"/>
              <w:bottom w:val="single" w:color="000000" w:sz="4" w:space="0"/>
              <w:right w:val="single" w:color="000000" w:sz="4" w:space="0"/>
            </w:tcBorders>
            <w:noWrap/>
            <w:vAlign w:val="center"/>
          </w:tcPr>
          <w:p w14:paraId="4E97E76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2,036.12</w:t>
            </w:r>
          </w:p>
        </w:tc>
        <w:tc>
          <w:tcPr>
            <w:tcW w:w="948" w:type="pct"/>
            <w:tcBorders>
              <w:top w:val="nil"/>
              <w:left w:val="nil"/>
              <w:bottom w:val="single" w:color="000000" w:sz="4" w:space="0"/>
              <w:right w:val="single" w:color="000000" w:sz="4" w:space="0"/>
            </w:tcBorders>
            <w:noWrap/>
            <w:vAlign w:val="center"/>
          </w:tcPr>
          <w:p w14:paraId="72B068A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一般公共服务支出</w:t>
            </w:r>
          </w:p>
        </w:tc>
        <w:tc>
          <w:tcPr>
            <w:tcW w:w="577" w:type="pct"/>
            <w:tcBorders>
              <w:top w:val="nil"/>
              <w:left w:val="nil"/>
              <w:bottom w:val="single" w:color="000000" w:sz="4" w:space="0"/>
              <w:right w:val="single" w:color="000000" w:sz="4" w:space="0"/>
            </w:tcBorders>
            <w:noWrap/>
            <w:vAlign w:val="center"/>
          </w:tcPr>
          <w:p w14:paraId="35BE17B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1,523.74</w:t>
            </w:r>
          </w:p>
        </w:tc>
        <w:tc>
          <w:tcPr>
            <w:tcW w:w="612" w:type="pct"/>
            <w:tcBorders>
              <w:top w:val="nil"/>
              <w:left w:val="nil"/>
              <w:bottom w:val="single" w:color="000000" w:sz="4" w:space="0"/>
              <w:right w:val="single" w:color="000000" w:sz="4" w:space="0"/>
            </w:tcBorders>
            <w:noWrap/>
            <w:vAlign w:val="center"/>
          </w:tcPr>
          <w:p w14:paraId="128BCD9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1,523.74</w:t>
            </w:r>
          </w:p>
        </w:tc>
        <w:tc>
          <w:tcPr>
            <w:tcW w:w="602" w:type="pct"/>
            <w:tcBorders>
              <w:top w:val="nil"/>
              <w:left w:val="nil"/>
              <w:bottom w:val="single" w:color="000000" w:sz="4" w:space="0"/>
              <w:right w:val="single" w:color="000000" w:sz="4" w:space="0"/>
            </w:tcBorders>
            <w:noWrap/>
            <w:vAlign w:val="center"/>
          </w:tcPr>
          <w:p w14:paraId="6B7036A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632" w:type="pct"/>
            <w:tcBorders>
              <w:top w:val="nil"/>
              <w:left w:val="nil"/>
              <w:bottom w:val="single" w:color="000000" w:sz="4" w:space="0"/>
              <w:right w:val="single" w:color="000000" w:sz="4" w:space="0"/>
            </w:tcBorders>
            <w:noWrap/>
            <w:vAlign w:val="center"/>
          </w:tcPr>
          <w:p w14:paraId="2C6FCBF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r>
      <w:tr w14:paraId="17A2F81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3B10C52">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一般公共预算拨款收入</w:t>
            </w:r>
          </w:p>
        </w:tc>
        <w:tc>
          <w:tcPr>
            <w:tcW w:w="657" w:type="pct"/>
            <w:noWrap/>
            <w:vAlign w:val="center"/>
          </w:tcPr>
          <w:p w14:paraId="31B0FC4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2,036.12</w:t>
            </w:r>
          </w:p>
        </w:tc>
        <w:tc>
          <w:tcPr>
            <w:tcW w:w="948" w:type="pct"/>
            <w:tcBorders>
              <w:top w:val="nil"/>
              <w:left w:val="single" w:color="000000" w:sz="4" w:space="0"/>
              <w:bottom w:val="single" w:color="000000" w:sz="4" w:space="0"/>
              <w:right w:val="single" w:color="000000" w:sz="4" w:space="0"/>
            </w:tcBorders>
            <w:noWrap/>
            <w:vAlign w:val="center"/>
          </w:tcPr>
          <w:p w14:paraId="48264241">
            <w:pPr>
              <w:widowControl/>
              <w:snapToGrid w:val="0"/>
              <w:jc w:val="center"/>
              <w:textAlignment w:val="center"/>
              <w:rPr>
                <w:rFonts w:hint="eastAsia" w:asciiTheme="minorEastAsia" w:hAnsiTheme="minorEastAsia" w:cstheme="minorEastAsia"/>
                <w:color w:val="000000"/>
                <w:kern w:val="0"/>
                <w:sz w:val="21"/>
                <w:szCs w:val="21"/>
                <w:lang w:bidi="ar"/>
              </w:rPr>
            </w:pPr>
            <w:r>
              <w:t>社会保障和就业支出</w:t>
            </w:r>
          </w:p>
        </w:tc>
        <w:tc>
          <w:tcPr>
            <w:tcW w:w="577" w:type="pct"/>
            <w:tcBorders>
              <w:top w:val="nil"/>
              <w:left w:val="nil"/>
              <w:bottom w:val="single" w:color="000000" w:sz="4" w:space="0"/>
              <w:right w:val="single" w:color="000000" w:sz="4" w:space="0"/>
            </w:tcBorders>
            <w:noWrap/>
            <w:vAlign w:val="center"/>
          </w:tcPr>
          <w:p w14:paraId="3A79DD0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368.36</w:t>
            </w:r>
          </w:p>
        </w:tc>
        <w:tc>
          <w:tcPr>
            <w:tcW w:w="612" w:type="pct"/>
            <w:tcBorders>
              <w:top w:val="nil"/>
              <w:left w:val="nil"/>
              <w:bottom w:val="single" w:color="000000" w:sz="4" w:space="0"/>
              <w:right w:val="single" w:color="000000" w:sz="4" w:space="0"/>
            </w:tcBorders>
            <w:noWrap/>
            <w:vAlign w:val="center"/>
          </w:tcPr>
          <w:p w14:paraId="0FB1CD1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368.36</w:t>
            </w:r>
          </w:p>
        </w:tc>
        <w:tc>
          <w:tcPr>
            <w:tcW w:w="602" w:type="pct"/>
            <w:tcBorders>
              <w:top w:val="nil"/>
              <w:left w:val="nil"/>
              <w:bottom w:val="single" w:color="000000" w:sz="4" w:space="0"/>
              <w:right w:val="single" w:color="000000" w:sz="4" w:space="0"/>
            </w:tcBorders>
            <w:noWrap/>
            <w:vAlign w:val="center"/>
          </w:tcPr>
          <w:p w14:paraId="5B8DA4A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62CC61C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2464693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A79014E">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政府性基金预算拨款收入</w:t>
            </w:r>
          </w:p>
        </w:tc>
        <w:tc>
          <w:tcPr>
            <w:tcW w:w="657" w:type="pct"/>
            <w:tcBorders>
              <w:top w:val="single" w:color="000000" w:sz="4" w:space="0"/>
              <w:left w:val="nil"/>
              <w:bottom w:val="single" w:color="000000" w:sz="4" w:space="0"/>
              <w:right w:val="single" w:color="000000" w:sz="4" w:space="0"/>
            </w:tcBorders>
            <w:noWrap/>
            <w:vAlign w:val="center"/>
          </w:tcPr>
          <w:p w14:paraId="7D377B1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948" w:type="pct"/>
            <w:tcBorders>
              <w:top w:val="nil"/>
              <w:left w:val="nil"/>
              <w:bottom w:val="single" w:color="000000" w:sz="4" w:space="0"/>
              <w:right w:val="single" w:color="000000" w:sz="4" w:space="0"/>
            </w:tcBorders>
            <w:noWrap/>
            <w:vAlign w:val="center"/>
          </w:tcPr>
          <w:p w14:paraId="3309753A">
            <w:pPr>
              <w:widowControl/>
              <w:snapToGrid w:val="0"/>
              <w:jc w:val="center"/>
              <w:textAlignment w:val="center"/>
              <w:rPr>
                <w:rFonts w:hint="eastAsia" w:asciiTheme="minorEastAsia" w:hAnsiTheme="minorEastAsia" w:cstheme="minorEastAsia"/>
                <w:color w:val="000000"/>
                <w:kern w:val="0"/>
                <w:sz w:val="21"/>
                <w:szCs w:val="21"/>
                <w:lang w:bidi="ar"/>
              </w:rPr>
            </w:pPr>
            <w:r>
              <w:t>卫生健康支出</w:t>
            </w:r>
          </w:p>
        </w:tc>
        <w:tc>
          <w:tcPr>
            <w:tcW w:w="577" w:type="pct"/>
            <w:tcBorders>
              <w:top w:val="nil"/>
              <w:left w:val="nil"/>
              <w:bottom w:val="single" w:color="000000" w:sz="4" w:space="0"/>
              <w:right w:val="single" w:color="000000" w:sz="4" w:space="0"/>
            </w:tcBorders>
            <w:noWrap/>
            <w:vAlign w:val="center"/>
          </w:tcPr>
          <w:p w14:paraId="5870232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69.45</w:t>
            </w:r>
          </w:p>
        </w:tc>
        <w:tc>
          <w:tcPr>
            <w:tcW w:w="612" w:type="pct"/>
            <w:tcBorders>
              <w:top w:val="nil"/>
              <w:left w:val="nil"/>
              <w:bottom w:val="single" w:color="000000" w:sz="4" w:space="0"/>
              <w:right w:val="single" w:color="000000" w:sz="4" w:space="0"/>
            </w:tcBorders>
            <w:noWrap/>
            <w:vAlign w:val="center"/>
          </w:tcPr>
          <w:p w14:paraId="100166B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69.45</w:t>
            </w:r>
          </w:p>
        </w:tc>
        <w:tc>
          <w:tcPr>
            <w:tcW w:w="602" w:type="pct"/>
            <w:tcBorders>
              <w:top w:val="nil"/>
              <w:left w:val="nil"/>
              <w:bottom w:val="single" w:color="000000" w:sz="4" w:space="0"/>
              <w:right w:val="single" w:color="000000" w:sz="4" w:space="0"/>
            </w:tcBorders>
            <w:noWrap/>
            <w:vAlign w:val="center"/>
          </w:tcPr>
          <w:p w14:paraId="0A6002C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63B88F3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49A4C8F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6791815">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国有资本经营预算收入</w:t>
            </w:r>
          </w:p>
        </w:tc>
        <w:tc>
          <w:tcPr>
            <w:tcW w:w="657" w:type="pct"/>
            <w:tcBorders>
              <w:top w:val="nil"/>
              <w:left w:val="nil"/>
              <w:bottom w:val="single" w:color="000000" w:sz="4" w:space="0"/>
              <w:right w:val="single" w:color="000000" w:sz="4" w:space="0"/>
            </w:tcBorders>
            <w:vAlign w:val="center"/>
          </w:tcPr>
          <w:p w14:paraId="13D1EC4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000000" w:sz="4" w:space="0"/>
              <w:right w:val="single" w:color="000000" w:sz="4" w:space="0"/>
            </w:tcBorders>
            <w:noWrap/>
            <w:vAlign w:val="center"/>
          </w:tcPr>
          <w:p w14:paraId="6DECBD62">
            <w:pPr>
              <w:widowControl/>
              <w:snapToGrid w:val="0"/>
              <w:jc w:val="center"/>
              <w:textAlignment w:val="center"/>
              <w:rPr>
                <w:rFonts w:hint="eastAsia" w:asciiTheme="minorEastAsia" w:hAnsiTheme="minorEastAsia" w:cstheme="minorEastAsia"/>
                <w:color w:val="000000"/>
                <w:kern w:val="0"/>
                <w:sz w:val="21"/>
                <w:szCs w:val="21"/>
                <w:lang w:bidi="ar"/>
              </w:rPr>
            </w:pPr>
            <w:r>
              <w:t>住房保障支出</w:t>
            </w:r>
          </w:p>
        </w:tc>
        <w:tc>
          <w:tcPr>
            <w:tcW w:w="577" w:type="pct"/>
            <w:tcBorders>
              <w:top w:val="nil"/>
              <w:left w:val="nil"/>
              <w:bottom w:val="single" w:color="000000" w:sz="4" w:space="0"/>
              <w:right w:val="single" w:color="000000" w:sz="4" w:space="0"/>
            </w:tcBorders>
            <w:noWrap/>
            <w:vAlign w:val="center"/>
          </w:tcPr>
          <w:p w14:paraId="3E733A1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74.58</w:t>
            </w:r>
          </w:p>
        </w:tc>
        <w:tc>
          <w:tcPr>
            <w:tcW w:w="612" w:type="pct"/>
            <w:tcBorders>
              <w:top w:val="nil"/>
              <w:left w:val="nil"/>
              <w:bottom w:val="single" w:color="000000" w:sz="4" w:space="0"/>
              <w:right w:val="single" w:color="000000" w:sz="4" w:space="0"/>
            </w:tcBorders>
            <w:noWrap/>
            <w:vAlign w:val="center"/>
          </w:tcPr>
          <w:p w14:paraId="5E77CFE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74.58</w:t>
            </w:r>
          </w:p>
        </w:tc>
        <w:tc>
          <w:tcPr>
            <w:tcW w:w="602" w:type="pct"/>
            <w:tcBorders>
              <w:top w:val="nil"/>
              <w:left w:val="nil"/>
              <w:bottom w:val="single" w:color="000000" w:sz="4" w:space="0"/>
              <w:right w:val="single" w:color="000000" w:sz="4" w:space="0"/>
            </w:tcBorders>
            <w:noWrap/>
            <w:vAlign w:val="center"/>
          </w:tcPr>
          <w:p w14:paraId="5DCE626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7BE7442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3E631A1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4D6C82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68F9B8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E9A2FE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3B45E6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0CD2CD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C6DC37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AA7D88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EDEA6B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AA13DD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647F93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E6536D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19A1E6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BE8EDC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38C072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5FBEEA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5ECA14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38F71B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CE6ABE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74FC60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09C157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DBDD66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19404F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AD1805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1A2D5F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35CE7F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F3C896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207A1F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116CF1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8E4633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1BDC38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BD85CB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B38FC4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2C39EB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2E7D17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F96EB5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69FF25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3089F0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4F09BB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D392C3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81D8BE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03624E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9567BF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F4CEA8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5B01B1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D78711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800530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B5D275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ADE7EF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CFDE63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E23454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D000A2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69C817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7F0FE2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8906BD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FC1578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1EAA38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2F85AD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504EF9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69B720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D855FD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18F034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0C3211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333C26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061EB0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CDA9AD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23A80C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919713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ABD2AB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122F6D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DF4D16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39D35E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91CEC2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E999BA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561571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736CC3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85F963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E61CCE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0E012C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DF7D83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7F07A3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722C69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1F56B1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DA1394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D1CBA4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E9E5FD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836DCB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CD1B7C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1E17CB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2EF6C8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59E9CA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09AF37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5E7114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42F7CE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F0628C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3E7645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39B8DE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4B33ED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9B88E3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12B0C8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3A18FB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6635F1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44255E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B7D8D1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B1C568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7446A9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6C108F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C68E19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21EC3B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57200A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2D0322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4689DB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8DE1ED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3E3D52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9AC147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FE1D40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C273CF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D955C1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2AE6BB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03BF1B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ED0DAB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0490E4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D28216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1410BA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4F2D22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B77030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4CB413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0DDB9A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4E4D5E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93409F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705364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ECFD91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D1932A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3704BE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BEACC6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BE8D80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1082C8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064719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783611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3E37DE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6D3B75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52920D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6E18E3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B4040F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84251A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4FA105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10A0ED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737BB5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575158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781AF7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CABE74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23E6DB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1D7B04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978695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97E2DF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7547F4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ABADCC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D5D39C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04A630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B9D1C6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C742328">
        <w:tblPrEx>
          <w:tblCellMar>
            <w:top w:w="0" w:type="dxa"/>
            <w:left w:w="108" w:type="dxa"/>
            <w:bottom w:w="0" w:type="dxa"/>
            <w:right w:w="108" w:type="dxa"/>
          </w:tblCellMar>
        </w:tblPrEx>
        <w:trPr>
          <w:cantSplit/>
          <w:trHeight w:val="283" w:hRule="atLeast"/>
        </w:trPr>
        <w:tc>
          <w:tcPr>
            <w:tcW w:w="968" w:type="pct"/>
            <w:tcBorders>
              <w:top w:val="single" w:color="000000" w:sz="4" w:space="0"/>
              <w:left w:val="single" w:color="000000" w:sz="4" w:space="0"/>
              <w:bottom w:val="single" w:color="000000" w:sz="4" w:space="0"/>
              <w:right w:val="single" w:color="000000" w:sz="4" w:space="0"/>
            </w:tcBorders>
            <w:noWrap/>
            <w:vAlign w:val="center"/>
          </w:tcPr>
          <w:p w14:paraId="474E15A1">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single" w:color="000000" w:sz="4" w:space="0"/>
              <w:left w:val="nil"/>
              <w:bottom w:val="single" w:color="000000" w:sz="4" w:space="0"/>
              <w:right w:val="single" w:color="000000" w:sz="4" w:space="0"/>
            </w:tcBorders>
            <w:vAlign w:val="center"/>
          </w:tcPr>
          <w:p w14:paraId="5D6609C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7339E74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ADC3D6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92253A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8A9DF4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C9FEA6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E0CED4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0131F8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5F9D09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46C1D3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054680F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51744E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1549CB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F07182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534A77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FE23C9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E48147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730A9B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2F0E0AA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03B16A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E07E4F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EDE896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CE3D00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0E60C9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nil"/>
              <w:left w:val="nil"/>
              <w:bottom w:val="single" w:color="000000" w:sz="4" w:space="0"/>
              <w:right w:val="single" w:color="000000" w:sz="4" w:space="0"/>
            </w:tcBorders>
            <w:vAlign w:val="center"/>
          </w:tcPr>
          <w:p w14:paraId="079FDC9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253E361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0FCED45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9704DA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8336EC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69CE30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268AE5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4A80EE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13187D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91ACE8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46DD152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ACB0FB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6E20B2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200D64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AFAEF9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57507D2">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二、上年结转</w:t>
            </w:r>
          </w:p>
        </w:tc>
        <w:tc>
          <w:tcPr>
            <w:tcW w:w="657" w:type="pct"/>
            <w:tcBorders>
              <w:top w:val="nil"/>
              <w:left w:val="nil"/>
              <w:bottom w:val="single" w:color="auto" w:sz="4" w:space="0"/>
              <w:right w:val="single" w:color="000000" w:sz="4" w:space="0"/>
            </w:tcBorders>
            <w:vAlign w:val="center"/>
          </w:tcPr>
          <w:p w14:paraId="57D3E1C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auto" w:sz="4" w:space="0"/>
              <w:right w:val="single" w:color="000000" w:sz="4" w:space="0"/>
            </w:tcBorders>
            <w:noWrap/>
            <w:vAlign w:val="center"/>
          </w:tcPr>
          <w:p w14:paraId="648E8D75">
            <w:pPr>
              <w:widowControl/>
              <w:snapToGrid w:val="0"/>
              <w:jc w:val="center"/>
              <w:textAlignment w:val="center"/>
              <w:rPr>
                <w:rFonts w:hint="eastAsia" w:asciiTheme="minorEastAsia" w:hAnsiTheme="minorEastAsia" w:cstheme="minorEastAsia"/>
                <w:color w:val="000000"/>
                <w:kern w:val="0"/>
                <w:sz w:val="21"/>
                <w:szCs w:val="21"/>
                <w:lang w:eastAsia="zh-CN" w:bidi="ar"/>
              </w:rPr>
            </w:pPr>
          </w:p>
        </w:tc>
        <w:tc>
          <w:tcPr>
            <w:tcW w:w="577" w:type="pct"/>
            <w:tcBorders>
              <w:top w:val="nil"/>
              <w:left w:val="nil"/>
              <w:bottom w:val="single" w:color="000000" w:sz="4" w:space="0"/>
              <w:right w:val="single" w:color="000000" w:sz="4" w:space="0"/>
            </w:tcBorders>
            <w:noWrap/>
            <w:vAlign w:val="center"/>
          </w:tcPr>
          <w:p w14:paraId="3284C4C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479D0E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E1F160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8C28DD5">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37194680">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auto" w:sz="4" w:space="0"/>
              <w:right w:val="single" w:color="auto" w:sz="4" w:space="0"/>
            </w:tcBorders>
            <w:noWrap/>
            <w:vAlign w:val="center"/>
          </w:tcPr>
          <w:p w14:paraId="61CB707A">
            <w:pPr>
              <w:widowControl/>
              <w:snapToGrid w:val="0"/>
              <w:ind w:firstLine="210" w:firstLineChars="10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一般公共预算拨款结转</w:t>
            </w:r>
          </w:p>
        </w:tc>
        <w:tc>
          <w:tcPr>
            <w:tcW w:w="657" w:type="pct"/>
            <w:tcBorders>
              <w:top w:val="single" w:color="auto" w:sz="4" w:space="0"/>
              <w:left w:val="single" w:color="auto" w:sz="4" w:space="0"/>
              <w:bottom w:val="single" w:color="auto" w:sz="4" w:space="0"/>
              <w:right w:val="single" w:color="auto" w:sz="4" w:space="0"/>
            </w:tcBorders>
            <w:vAlign w:val="center"/>
          </w:tcPr>
          <w:p w14:paraId="0A87E27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14:paraId="1D8E181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nil"/>
              <w:left w:val="single" w:color="auto" w:sz="4" w:space="0"/>
              <w:bottom w:val="single" w:color="auto" w:sz="4" w:space="0"/>
              <w:right w:val="single" w:color="000000" w:sz="4" w:space="0"/>
            </w:tcBorders>
            <w:noWrap/>
            <w:vAlign w:val="center"/>
          </w:tcPr>
          <w:p w14:paraId="1EDA993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auto" w:sz="4" w:space="0"/>
              <w:right w:val="single" w:color="000000" w:sz="4" w:space="0"/>
            </w:tcBorders>
            <w:noWrap/>
            <w:vAlign w:val="center"/>
          </w:tcPr>
          <w:p w14:paraId="2EE5129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auto" w:sz="4" w:space="0"/>
              <w:right w:val="single" w:color="000000" w:sz="4" w:space="0"/>
            </w:tcBorders>
            <w:noWrap/>
            <w:vAlign w:val="center"/>
          </w:tcPr>
          <w:p w14:paraId="42C0A33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auto" w:sz="4" w:space="0"/>
              <w:right w:val="single" w:color="000000" w:sz="4" w:space="0"/>
            </w:tcBorders>
            <w:noWrap/>
            <w:vAlign w:val="center"/>
          </w:tcPr>
          <w:p w14:paraId="0599C926">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64D4D9A6">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66983C10">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政府性基金预算拨款结转</w:t>
            </w:r>
          </w:p>
        </w:tc>
        <w:tc>
          <w:tcPr>
            <w:tcW w:w="657" w:type="pct"/>
            <w:tcBorders>
              <w:top w:val="single" w:color="auto" w:sz="4" w:space="0"/>
              <w:left w:val="single" w:color="auto" w:sz="4" w:space="0"/>
              <w:bottom w:val="single" w:color="auto" w:sz="4" w:space="0"/>
              <w:right w:val="single" w:color="auto" w:sz="4" w:space="0"/>
            </w:tcBorders>
            <w:noWrap/>
            <w:vAlign w:val="center"/>
          </w:tcPr>
          <w:p w14:paraId="4C90AF9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948" w:type="pct"/>
            <w:tcBorders>
              <w:top w:val="single" w:color="auto" w:sz="4" w:space="0"/>
              <w:left w:val="single" w:color="auto" w:sz="4" w:space="0"/>
              <w:bottom w:val="single" w:color="auto" w:sz="4" w:space="0"/>
              <w:right w:val="single" w:color="auto" w:sz="4" w:space="0"/>
            </w:tcBorders>
            <w:noWrap/>
            <w:vAlign w:val="center"/>
          </w:tcPr>
          <w:p w14:paraId="711999C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single" w:color="auto" w:sz="4" w:space="0"/>
              <w:left w:val="single" w:color="auto" w:sz="4" w:space="0"/>
              <w:bottom w:val="single" w:color="auto" w:sz="4" w:space="0"/>
              <w:right w:val="single" w:color="auto" w:sz="4" w:space="0"/>
            </w:tcBorders>
            <w:noWrap/>
            <w:vAlign w:val="center"/>
          </w:tcPr>
          <w:p w14:paraId="07EF914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single" w:color="auto" w:sz="4" w:space="0"/>
              <w:left w:val="single" w:color="auto" w:sz="4" w:space="0"/>
              <w:bottom w:val="single" w:color="auto" w:sz="4" w:space="0"/>
              <w:right w:val="single" w:color="auto" w:sz="4" w:space="0"/>
            </w:tcBorders>
            <w:noWrap/>
            <w:vAlign w:val="center"/>
          </w:tcPr>
          <w:p w14:paraId="44441DA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single" w:color="auto" w:sz="4" w:space="0"/>
              <w:left w:val="single" w:color="auto" w:sz="4" w:space="0"/>
              <w:bottom w:val="single" w:color="auto" w:sz="4" w:space="0"/>
              <w:right w:val="single" w:color="auto" w:sz="4" w:space="0"/>
            </w:tcBorders>
            <w:noWrap/>
            <w:vAlign w:val="center"/>
          </w:tcPr>
          <w:p w14:paraId="5CDBDBF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single" w:color="auto" w:sz="4" w:space="0"/>
              <w:left w:val="single" w:color="auto" w:sz="4" w:space="0"/>
              <w:bottom w:val="single" w:color="auto" w:sz="4" w:space="0"/>
              <w:right w:val="single" w:color="auto" w:sz="4" w:space="0"/>
            </w:tcBorders>
            <w:noWrap/>
            <w:vAlign w:val="center"/>
          </w:tcPr>
          <w:p w14:paraId="6D59B784">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50424D30">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2BFB2D0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收入总计</w:t>
            </w:r>
          </w:p>
        </w:tc>
        <w:tc>
          <w:tcPr>
            <w:tcW w:w="657" w:type="pct"/>
            <w:tcBorders>
              <w:top w:val="single" w:color="auto" w:sz="4" w:space="0"/>
              <w:left w:val="single" w:color="auto" w:sz="4" w:space="0"/>
              <w:bottom w:val="single" w:color="auto" w:sz="4" w:space="0"/>
              <w:right w:val="single" w:color="auto" w:sz="4" w:space="0"/>
            </w:tcBorders>
            <w:noWrap/>
            <w:vAlign w:val="center"/>
          </w:tcPr>
          <w:p w14:paraId="41B57FA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2,036.12</w:t>
            </w:r>
          </w:p>
        </w:tc>
        <w:tc>
          <w:tcPr>
            <w:tcW w:w="948" w:type="pct"/>
            <w:tcBorders>
              <w:top w:val="single" w:color="auto" w:sz="4" w:space="0"/>
              <w:left w:val="single" w:color="auto" w:sz="4" w:space="0"/>
              <w:bottom w:val="single" w:color="auto" w:sz="4" w:space="0"/>
              <w:right w:val="single" w:color="auto" w:sz="4" w:space="0"/>
            </w:tcBorders>
            <w:noWrap/>
            <w:vAlign w:val="center"/>
          </w:tcPr>
          <w:p w14:paraId="7D9D023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支出总计</w:t>
            </w:r>
          </w:p>
        </w:tc>
        <w:tc>
          <w:tcPr>
            <w:tcW w:w="577" w:type="pct"/>
            <w:tcBorders>
              <w:top w:val="single" w:color="auto" w:sz="4" w:space="0"/>
              <w:left w:val="single" w:color="auto" w:sz="4" w:space="0"/>
              <w:bottom w:val="single" w:color="auto" w:sz="4" w:space="0"/>
              <w:right w:val="single" w:color="auto" w:sz="4" w:space="0"/>
            </w:tcBorders>
            <w:noWrap/>
            <w:vAlign w:val="center"/>
          </w:tcPr>
          <w:p w14:paraId="0C29889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2,036.12</w:t>
            </w:r>
          </w:p>
        </w:tc>
        <w:tc>
          <w:tcPr>
            <w:tcW w:w="612" w:type="pct"/>
            <w:tcBorders>
              <w:top w:val="single" w:color="auto" w:sz="4" w:space="0"/>
              <w:left w:val="single" w:color="auto" w:sz="4" w:space="0"/>
              <w:bottom w:val="single" w:color="auto" w:sz="4" w:space="0"/>
              <w:right w:val="single" w:color="auto" w:sz="4" w:space="0"/>
            </w:tcBorders>
            <w:noWrap/>
            <w:vAlign w:val="center"/>
          </w:tcPr>
          <w:p w14:paraId="61F68DC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2,036.12</w:t>
            </w:r>
          </w:p>
        </w:tc>
        <w:tc>
          <w:tcPr>
            <w:tcW w:w="602" w:type="pct"/>
            <w:tcBorders>
              <w:top w:val="single" w:color="auto" w:sz="4" w:space="0"/>
              <w:left w:val="single" w:color="auto" w:sz="4" w:space="0"/>
              <w:bottom w:val="single" w:color="auto" w:sz="4" w:space="0"/>
              <w:right w:val="single" w:color="auto" w:sz="4" w:space="0"/>
            </w:tcBorders>
            <w:noWrap/>
            <w:vAlign w:val="center"/>
          </w:tcPr>
          <w:p w14:paraId="3D636A6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c>
          <w:tcPr>
            <w:tcW w:w="632" w:type="pct"/>
            <w:tcBorders>
              <w:top w:val="single" w:color="auto" w:sz="4" w:space="0"/>
              <w:left w:val="single" w:color="auto" w:sz="4" w:space="0"/>
              <w:bottom w:val="single" w:color="auto" w:sz="4" w:space="0"/>
              <w:right w:val="single" w:color="auto" w:sz="4" w:space="0"/>
            </w:tcBorders>
            <w:noWrap/>
            <w:vAlign w:val="center"/>
          </w:tcPr>
          <w:p w14:paraId="14BBE9B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r>
    </w:tbl>
    <w:p w14:paraId="085F8836">
      <w:pPr>
        <w:widowControl/>
        <w:jc w:val="left"/>
        <w:rPr>
          <w:rStyle w:val="14"/>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000" w:type="pct"/>
        <w:tblInd w:w="0" w:type="dxa"/>
        <w:tblLayout w:type="fixed"/>
        <w:tblCellMar>
          <w:top w:w="0" w:type="dxa"/>
          <w:left w:w="108" w:type="dxa"/>
          <w:bottom w:w="0" w:type="dxa"/>
          <w:right w:w="108" w:type="dxa"/>
        </w:tblCellMar>
      </w:tblPr>
      <w:tblGrid>
        <w:gridCol w:w="1823"/>
        <w:gridCol w:w="3375"/>
        <w:gridCol w:w="2256"/>
        <w:gridCol w:w="1462"/>
        <w:gridCol w:w="1767"/>
      </w:tblGrid>
      <w:tr w14:paraId="75987316">
        <w:tblPrEx>
          <w:tblCellMar>
            <w:top w:w="0" w:type="dxa"/>
            <w:left w:w="108" w:type="dxa"/>
            <w:bottom w:w="0" w:type="dxa"/>
            <w:right w:w="108" w:type="dxa"/>
          </w:tblCellMar>
        </w:tblPrEx>
        <w:trPr>
          <w:trHeight w:val="585" w:hRule="atLeast"/>
          <w:tblHeader/>
        </w:trPr>
        <w:tc>
          <w:tcPr>
            <w:tcW w:w="5000" w:type="pct"/>
            <w:gridSpan w:val="5"/>
            <w:noWrap/>
            <w:vAlign w:val="center"/>
          </w:tcPr>
          <w:p w14:paraId="10222F39">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一般公共预算支出表</w:t>
            </w:r>
          </w:p>
        </w:tc>
      </w:tr>
      <w:tr w14:paraId="13D90491">
        <w:tblPrEx>
          <w:tblCellMar>
            <w:top w:w="0" w:type="dxa"/>
            <w:left w:w="108" w:type="dxa"/>
            <w:bottom w:w="0" w:type="dxa"/>
            <w:right w:w="108" w:type="dxa"/>
          </w:tblCellMar>
        </w:tblPrEx>
        <w:trPr>
          <w:trHeight w:val="420" w:hRule="atLeast"/>
          <w:tblHeader/>
        </w:trPr>
        <w:tc>
          <w:tcPr>
            <w:tcW w:w="2433" w:type="pct"/>
            <w:gridSpan w:val="2"/>
            <w:noWrap/>
            <w:vAlign w:val="center"/>
          </w:tcPr>
          <w:p w14:paraId="3165FCBC">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填报单位:318新余市渝水区财政局（部门）</w:t>
            </w:r>
          </w:p>
        </w:tc>
        <w:tc>
          <w:tcPr>
            <w:tcW w:w="1056" w:type="pct"/>
            <w:noWrap/>
            <w:vAlign w:val="bottom"/>
          </w:tcPr>
          <w:p w14:paraId="020A52DD">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84" w:type="pct"/>
            <w:noWrap/>
            <w:vAlign w:val="bottom"/>
          </w:tcPr>
          <w:p w14:paraId="4AB41897">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25" w:type="pct"/>
            <w:noWrap/>
            <w:vAlign w:val="center"/>
          </w:tcPr>
          <w:p w14:paraId="61CCB8CE">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4781ABFA">
        <w:tblPrEx>
          <w:tblCellMar>
            <w:top w:w="0" w:type="dxa"/>
            <w:left w:w="108" w:type="dxa"/>
            <w:bottom w:w="0" w:type="dxa"/>
            <w:right w:w="108" w:type="dxa"/>
          </w:tblCellMar>
        </w:tblPrEx>
        <w:trPr>
          <w:cantSplit/>
          <w:trHeight w:val="283" w:hRule="atLeast"/>
          <w:tblHeader/>
        </w:trPr>
        <w:tc>
          <w:tcPr>
            <w:tcW w:w="2433" w:type="pct"/>
            <w:gridSpan w:val="2"/>
            <w:tcBorders>
              <w:top w:val="single" w:color="000000" w:sz="4" w:space="0"/>
              <w:left w:val="single" w:color="000000" w:sz="4" w:space="0"/>
              <w:bottom w:val="single" w:color="000000" w:sz="4" w:space="0"/>
              <w:right w:val="single" w:color="000000" w:sz="4" w:space="0"/>
            </w:tcBorders>
            <w:noWrap/>
            <w:vAlign w:val="center"/>
          </w:tcPr>
          <w:p w14:paraId="7317C20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566" w:type="pct"/>
            <w:gridSpan w:val="3"/>
            <w:tcBorders>
              <w:top w:val="single" w:color="000000" w:sz="4" w:space="0"/>
              <w:left w:val="nil"/>
              <w:bottom w:val="single" w:color="000000" w:sz="4" w:space="0"/>
              <w:right w:val="single" w:color="000000" w:sz="4" w:space="0"/>
            </w:tcBorders>
            <w:noWrap/>
            <w:vAlign w:val="center"/>
          </w:tcPr>
          <w:p w14:paraId="6184258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0E2A156B">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single" w:color="000000" w:sz="4" w:space="0"/>
              <w:right w:val="single" w:color="000000" w:sz="4" w:space="0"/>
            </w:tcBorders>
            <w:noWrap/>
            <w:vAlign w:val="center"/>
          </w:tcPr>
          <w:p w14:paraId="4B5CCA0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579" w:type="pct"/>
            <w:tcBorders>
              <w:top w:val="nil"/>
              <w:left w:val="nil"/>
              <w:bottom w:val="single" w:color="000000" w:sz="4" w:space="0"/>
              <w:right w:val="single" w:color="000000" w:sz="4" w:space="0"/>
            </w:tcBorders>
            <w:noWrap/>
            <w:vAlign w:val="center"/>
          </w:tcPr>
          <w:p w14:paraId="5BCFE95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56" w:type="pct"/>
            <w:tcBorders>
              <w:top w:val="nil"/>
              <w:left w:val="nil"/>
              <w:bottom w:val="single" w:color="000000" w:sz="4" w:space="0"/>
              <w:right w:val="single" w:color="000000" w:sz="4" w:space="0"/>
            </w:tcBorders>
            <w:noWrap/>
            <w:vAlign w:val="center"/>
          </w:tcPr>
          <w:p w14:paraId="6F7386E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84" w:type="pct"/>
            <w:tcBorders>
              <w:top w:val="nil"/>
              <w:left w:val="nil"/>
              <w:bottom w:val="single" w:color="000000" w:sz="4" w:space="0"/>
              <w:right w:val="single" w:color="000000" w:sz="4" w:space="0"/>
            </w:tcBorders>
            <w:noWrap/>
            <w:vAlign w:val="center"/>
          </w:tcPr>
          <w:p w14:paraId="2484C2D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825" w:type="pct"/>
            <w:tcBorders>
              <w:top w:val="nil"/>
              <w:left w:val="nil"/>
              <w:bottom w:val="single" w:color="000000" w:sz="4" w:space="0"/>
              <w:right w:val="single" w:color="000000" w:sz="4" w:space="0"/>
            </w:tcBorders>
            <w:noWrap/>
            <w:vAlign w:val="center"/>
          </w:tcPr>
          <w:p w14:paraId="130D11D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7D72E40A">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nil"/>
              <w:right w:val="single" w:color="000000" w:sz="4" w:space="0"/>
            </w:tcBorders>
            <w:noWrap/>
            <w:vAlign w:val="center"/>
          </w:tcPr>
          <w:p w14:paraId="65436D5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579" w:type="pct"/>
            <w:tcBorders>
              <w:top w:val="nil"/>
              <w:left w:val="nil"/>
              <w:bottom w:val="nil"/>
              <w:right w:val="single" w:color="000000" w:sz="4" w:space="0"/>
            </w:tcBorders>
            <w:noWrap/>
            <w:vAlign w:val="center"/>
          </w:tcPr>
          <w:p w14:paraId="65680AA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56" w:type="pct"/>
            <w:tcBorders>
              <w:top w:val="nil"/>
              <w:left w:val="nil"/>
              <w:bottom w:val="nil"/>
              <w:right w:val="single" w:color="000000" w:sz="4" w:space="0"/>
            </w:tcBorders>
            <w:noWrap/>
            <w:vAlign w:val="center"/>
          </w:tcPr>
          <w:p w14:paraId="06B48E0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84" w:type="pct"/>
            <w:tcBorders>
              <w:top w:val="nil"/>
              <w:left w:val="nil"/>
              <w:bottom w:val="nil"/>
              <w:right w:val="single" w:color="000000" w:sz="4" w:space="0"/>
            </w:tcBorders>
            <w:noWrap/>
            <w:vAlign w:val="center"/>
          </w:tcPr>
          <w:p w14:paraId="32330803">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825" w:type="pct"/>
            <w:tcBorders>
              <w:top w:val="nil"/>
              <w:left w:val="nil"/>
              <w:bottom w:val="nil"/>
              <w:right w:val="single" w:color="000000" w:sz="4" w:space="0"/>
            </w:tcBorders>
            <w:noWrap/>
            <w:vAlign w:val="center"/>
          </w:tcPr>
          <w:p w14:paraId="41CD7A42">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3932CBE3">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74A59D3">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579" w:type="pct"/>
            <w:tcBorders>
              <w:top w:val="single" w:color="000000" w:sz="4" w:space="0"/>
              <w:left w:val="nil"/>
              <w:bottom w:val="single" w:color="000000" w:sz="4" w:space="0"/>
              <w:right w:val="single" w:color="000000" w:sz="4" w:space="0"/>
            </w:tcBorders>
            <w:noWrap/>
            <w:vAlign w:val="center"/>
          </w:tcPr>
          <w:p w14:paraId="65D0832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056" w:type="pct"/>
            <w:tcBorders>
              <w:top w:val="single" w:color="000000" w:sz="4" w:space="0"/>
              <w:left w:val="nil"/>
              <w:bottom w:val="single" w:color="000000" w:sz="4" w:space="0"/>
              <w:right w:val="single" w:color="000000" w:sz="4" w:space="0"/>
            </w:tcBorders>
            <w:noWrap/>
            <w:vAlign w:val="center"/>
          </w:tcPr>
          <w:p w14:paraId="107855D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2,036.12</w:t>
            </w:r>
          </w:p>
        </w:tc>
        <w:tc>
          <w:tcPr>
            <w:tcW w:w="684" w:type="pct"/>
            <w:tcBorders>
              <w:top w:val="single" w:color="000000" w:sz="4" w:space="0"/>
              <w:left w:val="nil"/>
              <w:bottom w:val="single" w:color="000000" w:sz="4" w:space="0"/>
              <w:right w:val="single" w:color="000000" w:sz="4" w:space="0"/>
            </w:tcBorders>
            <w:noWrap/>
            <w:vAlign w:val="center"/>
          </w:tcPr>
          <w:p w14:paraId="3BC2E28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1,736.12</w:t>
            </w:r>
          </w:p>
        </w:tc>
        <w:tc>
          <w:tcPr>
            <w:tcW w:w="825" w:type="pct"/>
            <w:tcBorders>
              <w:top w:val="single" w:color="000000" w:sz="4" w:space="0"/>
              <w:left w:val="nil"/>
              <w:bottom w:val="single" w:color="000000" w:sz="4" w:space="0"/>
              <w:right w:val="single" w:color="000000" w:sz="4" w:space="0"/>
            </w:tcBorders>
            <w:noWrap/>
            <w:vAlign w:val="center"/>
          </w:tcPr>
          <w:p w14:paraId="0F6646C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300.00</w:t>
            </w:r>
          </w:p>
        </w:tc>
      </w:tr>
      <w:tr w14:paraId="1510C2CC">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F28207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w:t>
            </w:r>
          </w:p>
        </w:tc>
        <w:tc>
          <w:tcPr>
            <w:tcW w:w="1579" w:type="pct"/>
            <w:tcBorders>
              <w:top w:val="single" w:color="000000" w:sz="4" w:space="0"/>
              <w:left w:val="nil"/>
              <w:bottom w:val="single" w:color="000000" w:sz="4" w:space="0"/>
              <w:right w:val="single" w:color="000000" w:sz="4" w:space="0"/>
            </w:tcBorders>
            <w:noWrap/>
            <w:vAlign w:val="center"/>
          </w:tcPr>
          <w:p w14:paraId="19982B8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一般公共服务支出</w:t>
            </w:r>
          </w:p>
        </w:tc>
        <w:tc>
          <w:tcPr>
            <w:tcW w:w="1056" w:type="pct"/>
            <w:tcBorders>
              <w:top w:val="single" w:color="000000" w:sz="4" w:space="0"/>
              <w:left w:val="nil"/>
              <w:bottom w:val="single" w:color="000000" w:sz="4" w:space="0"/>
              <w:right w:val="single" w:color="000000" w:sz="4" w:space="0"/>
            </w:tcBorders>
            <w:noWrap/>
            <w:vAlign w:val="center"/>
          </w:tcPr>
          <w:p w14:paraId="4091224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1,523.74</w:t>
            </w:r>
          </w:p>
        </w:tc>
        <w:tc>
          <w:tcPr>
            <w:tcW w:w="684" w:type="pct"/>
            <w:tcBorders>
              <w:top w:val="single" w:color="000000" w:sz="4" w:space="0"/>
              <w:left w:val="nil"/>
              <w:bottom w:val="single" w:color="000000" w:sz="4" w:space="0"/>
              <w:right w:val="single" w:color="000000" w:sz="4" w:space="0"/>
            </w:tcBorders>
            <w:noWrap/>
            <w:vAlign w:val="center"/>
          </w:tcPr>
          <w:p w14:paraId="68F75C5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1,223.74</w:t>
            </w:r>
          </w:p>
        </w:tc>
        <w:tc>
          <w:tcPr>
            <w:tcW w:w="825" w:type="pct"/>
            <w:tcBorders>
              <w:top w:val="single" w:color="000000" w:sz="4" w:space="0"/>
              <w:left w:val="nil"/>
              <w:bottom w:val="single" w:color="000000" w:sz="4" w:space="0"/>
              <w:right w:val="single" w:color="000000" w:sz="4" w:space="0"/>
            </w:tcBorders>
            <w:noWrap/>
            <w:vAlign w:val="center"/>
          </w:tcPr>
          <w:p w14:paraId="1F7F6A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300.00</w:t>
            </w:r>
          </w:p>
        </w:tc>
      </w:tr>
      <w:tr w14:paraId="6C185081">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D26FEC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20106</w:t>
            </w:r>
          </w:p>
        </w:tc>
        <w:tc>
          <w:tcPr>
            <w:tcW w:w="1579" w:type="pct"/>
            <w:tcBorders>
              <w:top w:val="single" w:color="000000" w:sz="4" w:space="0"/>
              <w:left w:val="nil"/>
              <w:bottom w:val="single" w:color="000000" w:sz="4" w:space="0"/>
              <w:right w:val="single" w:color="000000" w:sz="4" w:space="0"/>
            </w:tcBorders>
            <w:noWrap/>
            <w:vAlign w:val="center"/>
          </w:tcPr>
          <w:p w14:paraId="1468638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财政事务</w:t>
            </w:r>
          </w:p>
        </w:tc>
        <w:tc>
          <w:tcPr>
            <w:tcW w:w="1056" w:type="pct"/>
            <w:tcBorders>
              <w:top w:val="single" w:color="000000" w:sz="4" w:space="0"/>
              <w:left w:val="nil"/>
              <w:bottom w:val="single" w:color="000000" w:sz="4" w:space="0"/>
              <w:right w:val="single" w:color="000000" w:sz="4" w:space="0"/>
            </w:tcBorders>
            <w:noWrap/>
            <w:vAlign w:val="center"/>
          </w:tcPr>
          <w:p w14:paraId="1B566C6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1,523.74</w:t>
            </w:r>
          </w:p>
        </w:tc>
        <w:tc>
          <w:tcPr>
            <w:tcW w:w="684" w:type="pct"/>
            <w:tcBorders>
              <w:top w:val="single" w:color="000000" w:sz="4" w:space="0"/>
              <w:left w:val="nil"/>
              <w:bottom w:val="single" w:color="000000" w:sz="4" w:space="0"/>
              <w:right w:val="single" w:color="000000" w:sz="4" w:space="0"/>
            </w:tcBorders>
            <w:noWrap/>
            <w:vAlign w:val="center"/>
          </w:tcPr>
          <w:p w14:paraId="5147141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1,223.74</w:t>
            </w:r>
          </w:p>
        </w:tc>
        <w:tc>
          <w:tcPr>
            <w:tcW w:w="825" w:type="pct"/>
            <w:tcBorders>
              <w:top w:val="single" w:color="000000" w:sz="4" w:space="0"/>
              <w:left w:val="nil"/>
              <w:bottom w:val="single" w:color="000000" w:sz="4" w:space="0"/>
              <w:right w:val="single" w:color="000000" w:sz="4" w:space="0"/>
            </w:tcBorders>
            <w:noWrap/>
            <w:vAlign w:val="center"/>
          </w:tcPr>
          <w:p w14:paraId="77F3459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300.00</w:t>
            </w:r>
          </w:p>
        </w:tc>
      </w:tr>
      <w:tr w14:paraId="6118435E">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CEAC4D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2010601</w:t>
            </w:r>
          </w:p>
        </w:tc>
        <w:tc>
          <w:tcPr>
            <w:tcW w:w="1579" w:type="pct"/>
            <w:tcBorders>
              <w:top w:val="single" w:color="000000" w:sz="4" w:space="0"/>
              <w:left w:val="nil"/>
              <w:bottom w:val="single" w:color="000000" w:sz="4" w:space="0"/>
              <w:right w:val="single" w:color="000000" w:sz="4" w:space="0"/>
            </w:tcBorders>
            <w:noWrap/>
            <w:vAlign w:val="center"/>
          </w:tcPr>
          <w:p w14:paraId="6BFF1CC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1056" w:type="pct"/>
            <w:tcBorders>
              <w:top w:val="single" w:color="000000" w:sz="4" w:space="0"/>
              <w:left w:val="nil"/>
              <w:bottom w:val="single" w:color="000000" w:sz="4" w:space="0"/>
              <w:right w:val="single" w:color="000000" w:sz="4" w:space="0"/>
            </w:tcBorders>
            <w:noWrap/>
            <w:vAlign w:val="center"/>
          </w:tcPr>
          <w:p w14:paraId="207604E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1,223.74</w:t>
            </w:r>
          </w:p>
        </w:tc>
        <w:tc>
          <w:tcPr>
            <w:tcW w:w="684" w:type="pct"/>
            <w:tcBorders>
              <w:top w:val="single" w:color="000000" w:sz="4" w:space="0"/>
              <w:left w:val="nil"/>
              <w:bottom w:val="single" w:color="000000" w:sz="4" w:space="0"/>
              <w:right w:val="single" w:color="000000" w:sz="4" w:space="0"/>
            </w:tcBorders>
            <w:noWrap/>
            <w:vAlign w:val="center"/>
          </w:tcPr>
          <w:p w14:paraId="0367497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1,223.74</w:t>
            </w:r>
          </w:p>
        </w:tc>
        <w:tc>
          <w:tcPr>
            <w:tcW w:w="825" w:type="pct"/>
            <w:tcBorders>
              <w:top w:val="single" w:color="000000" w:sz="4" w:space="0"/>
              <w:left w:val="nil"/>
              <w:bottom w:val="single" w:color="000000" w:sz="4" w:space="0"/>
              <w:right w:val="single" w:color="000000" w:sz="4" w:space="0"/>
            </w:tcBorders>
            <w:noWrap/>
            <w:vAlign w:val="center"/>
          </w:tcPr>
          <w:p w14:paraId="18E03C1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4F3B6E87">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E2C6CB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2010699</w:t>
            </w:r>
          </w:p>
        </w:tc>
        <w:tc>
          <w:tcPr>
            <w:tcW w:w="1579" w:type="pct"/>
            <w:tcBorders>
              <w:top w:val="single" w:color="000000" w:sz="4" w:space="0"/>
              <w:left w:val="nil"/>
              <w:bottom w:val="single" w:color="000000" w:sz="4" w:space="0"/>
              <w:right w:val="single" w:color="000000" w:sz="4" w:space="0"/>
            </w:tcBorders>
            <w:noWrap/>
            <w:vAlign w:val="center"/>
          </w:tcPr>
          <w:p w14:paraId="05723C6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其他财政事务支出</w:t>
            </w:r>
          </w:p>
        </w:tc>
        <w:tc>
          <w:tcPr>
            <w:tcW w:w="1056" w:type="pct"/>
            <w:tcBorders>
              <w:top w:val="single" w:color="000000" w:sz="4" w:space="0"/>
              <w:left w:val="nil"/>
              <w:bottom w:val="single" w:color="000000" w:sz="4" w:space="0"/>
              <w:right w:val="single" w:color="000000" w:sz="4" w:space="0"/>
            </w:tcBorders>
            <w:noWrap/>
            <w:vAlign w:val="center"/>
          </w:tcPr>
          <w:p w14:paraId="5013DE4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300.00</w:t>
            </w:r>
          </w:p>
        </w:tc>
        <w:tc>
          <w:tcPr>
            <w:tcW w:w="684" w:type="pct"/>
            <w:tcBorders>
              <w:top w:val="single" w:color="000000" w:sz="4" w:space="0"/>
              <w:left w:val="nil"/>
              <w:bottom w:val="single" w:color="000000" w:sz="4" w:space="0"/>
              <w:right w:val="single" w:color="000000" w:sz="4" w:space="0"/>
            </w:tcBorders>
            <w:noWrap/>
            <w:vAlign w:val="center"/>
          </w:tcPr>
          <w:p w14:paraId="29960CC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14:paraId="2E7D72B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300.00</w:t>
            </w:r>
          </w:p>
        </w:tc>
      </w:tr>
      <w:tr w14:paraId="432FA69B">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5C8922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579" w:type="pct"/>
            <w:tcBorders>
              <w:top w:val="single" w:color="000000" w:sz="4" w:space="0"/>
              <w:left w:val="nil"/>
              <w:bottom w:val="single" w:color="000000" w:sz="4" w:space="0"/>
              <w:right w:val="single" w:color="000000" w:sz="4" w:space="0"/>
            </w:tcBorders>
            <w:noWrap/>
            <w:vAlign w:val="center"/>
          </w:tcPr>
          <w:p w14:paraId="2D8A42F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1056" w:type="pct"/>
            <w:tcBorders>
              <w:top w:val="single" w:color="000000" w:sz="4" w:space="0"/>
              <w:left w:val="nil"/>
              <w:bottom w:val="single" w:color="000000" w:sz="4" w:space="0"/>
              <w:right w:val="single" w:color="000000" w:sz="4" w:space="0"/>
            </w:tcBorders>
            <w:noWrap/>
            <w:vAlign w:val="center"/>
          </w:tcPr>
          <w:p w14:paraId="75AA1CD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368.36</w:t>
            </w:r>
          </w:p>
        </w:tc>
        <w:tc>
          <w:tcPr>
            <w:tcW w:w="684" w:type="pct"/>
            <w:tcBorders>
              <w:top w:val="single" w:color="000000" w:sz="4" w:space="0"/>
              <w:left w:val="nil"/>
              <w:bottom w:val="single" w:color="000000" w:sz="4" w:space="0"/>
              <w:right w:val="single" w:color="000000" w:sz="4" w:space="0"/>
            </w:tcBorders>
            <w:noWrap/>
            <w:vAlign w:val="center"/>
          </w:tcPr>
          <w:p w14:paraId="57AC481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368.36</w:t>
            </w:r>
          </w:p>
        </w:tc>
        <w:tc>
          <w:tcPr>
            <w:tcW w:w="825" w:type="pct"/>
            <w:tcBorders>
              <w:top w:val="single" w:color="000000" w:sz="4" w:space="0"/>
              <w:left w:val="nil"/>
              <w:bottom w:val="single" w:color="000000" w:sz="4" w:space="0"/>
              <w:right w:val="single" w:color="000000" w:sz="4" w:space="0"/>
            </w:tcBorders>
            <w:noWrap/>
            <w:vAlign w:val="center"/>
          </w:tcPr>
          <w:p w14:paraId="3B27FBA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541D606">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9B65AA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579" w:type="pct"/>
            <w:tcBorders>
              <w:top w:val="single" w:color="000000" w:sz="4" w:space="0"/>
              <w:left w:val="nil"/>
              <w:bottom w:val="single" w:color="000000" w:sz="4" w:space="0"/>
              <w:right w:val="single" w:color="000000" w:sz="4" w:space="0"/>
            </w:tcBorders>
            <w:noWrap/>
            <w:vAlign w:val="center"/>
          </w:tcPr>
          <w:p w14:paraId="309CAA7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1056" w:type="pct"/>
            <w:tcBorders>
              <w:top w:val="single" w:color="000000" w:sz="4" w:space="0"/>
              <w:left w:val="nil"/>
              <w:bottom w:val="single" w:color="000000" w:sz="4" w:space="0"/>
              <w:right w:val="single" w:color="000000" w:sz="4" w:space="0"/>
            </w:tcBorders>
            <w:noWrap/>
            <w:vAlign w:val="center"/>
          </w:tcPr>
          <w:p w14:paraId="4148488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368.36</w:t>
            </w:r>
          </w:p>
        </w:tc>
        <w:tc>
          <w:tcPr>
            <w:tcW w:w="684" w:type="pct"/>
            <w:tcBorders>
              <w:top w:val="single" w:color="000000" w:sz="4" w:space="0"/>
              <w:left w:val="nil"/>
              <w:bottom w:val="single" w:color="000000" w:sz="4" w:space="0"/>
              <w:right w:val="single" w:color="000000" w:sz="4" w:space="0"/>
            </w:tcBorders>
            <w:noWrap/>
            <w:vAlign w:val="center"/>
          </w:tcPr>
          <w:p w14:paraId="170603F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368.36</w:t>
            </w:r>
          </w:p>
        </w:tc>
        <w:tc>
          <w:tcPr>
            <w:tcW w:w="825" w:type="pct"/>
            <w:tcBorders>
              <w:top w:val="single" w:color="000000" w:sz="4" w:space="0"/>
              <w:left w:val="nil"/>
              <w:bottom w:val="single" w:color="000000" w:sz="4" w:space="0"/>
              <w:right w:val="single" w:color="000000" w:sz="4" w:space="0"/>
            </w:tcBorders>
            <w:noWrap/>
            <w:vAlign w:val="center"/>
          </w:tcPr>
          <w:p w14:paraId="15C6D61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6981B9A">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D1603A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2080501</w:t>
            </w:r>
          </w:p>
        </w:tc>
        <w:tc>
          <w:tcPr>
            <w:tcW w:w="1579" w:type="pct"/>
            <w:tcBorders>
              <w:top w:val="single" w:color="000000" w:sz="4" w:space="0"/>
              <w:left w:val="nil"/>
              <w:bottom w:val="single" w:color="000000" w:sz="4" w:space="0"/>
              <w:right w:val="single" w:color="000000" w:sz="4" w:space="0"/>
            </w:tcBorders>
            <w:noWrap/>
            <w:vAlign w:val="center"/>
          </w:tcPr>
          <w:p w14:paraId="26D22C1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行政单位离退休</w:t>
            </w:r>
          </w:p>
        </w:tc>
        <w:tc>
          <w:tcPr>
            <w:tcW w:w="1056" w:type="pct"/>
            <w:tcBorders>
              <w:top w:val="single" w:color="000000" w:sz="4" w:space="0"/>
              <w:left w:val="nil"/>
              <w:bottom w:val="single" w:color="000000" w:sz="4" w:space="0"/>
              <w:right w:val="single" w:color="000000" w:sz="4" w:space="0"/>
            </w:tcBorders>
            <w:noWrap/>
            <w:vAlign w:val="center"/>
          </w:tcPr>
          <w:p w14:paraId="311C553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123.25</w:t>
            </w:r>
          </w:p>
        </w:tc>
        <w:tc>
          <w:tcPr>
            <w:tcW w:w="684" w:type="pct"/>
            <w:tcBorders>
              <w:top w:val="single" w:color="000000" w:sz="4" w:space="0"/>
              <w:left w:val="nil"/>
              <w:bottom w:val="single" w:color="000000" w:sz="4" w:space="0"/>
              <w:right w:val="single" w:color="000000" w:sz="4" w:space="0"/>
            </w:tcBorders>
            <w:noWrap/>
            <w:vAlign w:val="center"/>
          </w:tcPr>
          <w:p w14:paraId="143A43E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123.25</w:t>
            </w:r>
          </w:p>
        </w:tc>
        <w:tc>
          <w:tcPr>
            <w:tcW w:w="825" w:type="pct"/>
            <w:tcBorders>
              <w:top w:val="single" w:color="000000" w:sz="4" w:space="0"/>
              <w:left w:val="nil"/>
              <w:bottom w:val="single" w:color="000000" w:sz="4" w:space="0"/>
              <w:right w:val="single" w:color="000000" w:sz="4" w:space="0"/>
            </w:tcBorders>
            <w:noWrap/>
            <w:vAlign w:val="center"/>
          </w:tcPr>
          <w:p w14:paraId="3927DB4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3CCEE891">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DBA182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579" w:type="pct"/>
            <w:tcBorders>
              <w:top w:val="single" w:color="000000" w:sz="4" w:space="0"/>
              <w:left w:val="nil"/>
              <w:bottom w:val="single" w:color="000000" w:sz="4" w:space="0"/>
              <w:right w:val="single" w:color="000000" w:sz="4" w:space="0"/>
            </w:tcBorders>
            <w:noWrap/>
            <w:vAlign w:val="center"/>
          </w:tcPr>
          <w:p w14:paraId="292B1DC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1056" w:type="pct"/>
            <w:tcBorders>
              <w:top w:val="single" w:color="000000" w:sz="4" w:space="0"/>
              <w:left w:val="nil"/>
              <w:bottom w:val="single" w:color="000000" w:sz="4" w:space="0"/>
              <w:right w:val="single" w:color="000000" w:sz="4" w:space="0"/>
            </w:tcBorders>
            <w:noWrap/>
            <w:vAlign w:val="center"/>
          </w:tcPr>
          <w:p w14:paraId="3D3168B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163.41</w:t>
            </w:r>
          </w:p>
        </w:tc>
        <w:tc>
          <w:tcPr>
            <w:tcW w:w="684" w:type="pct"/>
            <w:tcBorders>
              <w:top w:val="single" w:color="000000" w:sz="4" w:space="0"/>
              <w:left w:val="nil"/>
              <w:bottom w:val="single" w:color="000000" w:sz="4" w:space="0"/>
              <w:right w:val="single" w:color="000000" w:sz="4" w:space="0"/>
            </w:tcBorders>
            <w:noWrap/>
            <w:vAlign w:val="center"/>
          </w:tcPr>
          <w:p w14:paraId="5A8A714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163.41</w:t>
            </w:r>
          </w:p>
        </w:tc>
        <w:tc>
          <w:tcPr>
            <w:tcW w:w="825" w:type="pct"/>
            <w:tcBorders>
              <w:top w:val="single" w:color="000000" w:sz="4" w:space="0"/>
              <w:left w:val="nil"/>
              <w:bottom w:val="single" w:color="000000" w:sz="4" w:space="0"/>
              <w:right w:val="single" w:color="000000" w:sz="4" w:space="0"/>
            </w:tcBorders>
            <w:noWrap/>
            <w:vAlign w:val="center"/>
          </w:tcPr>
          <w:p w14:paraId="7ADE291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78D09198">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144DC5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2080506</w:t>
            </w:r>
          </w:p>
        </w:tc>
        <w:tc>
          <w:tcPr>
            <w:tcW w:w="1579" w:type="pct"/>
            <w:tcBorders>
              <w:top w:val="single" w:color="000000" w:sz="4" w:space="0"/>
              <w:left w:val="nil"/>
              <w:bottom w:val="single" w:color="000000" w:sz="4" w:space="0"/>
              <w:right w:val="single" w:color="000000" w:sz="4" w:space="0"/>
            </w:tcBorders>
            <w:noWrap/>
            <w:vAlign w:val="center"/>
          </w:tcPr>
          <w:p w14:paraId="15A162F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机关事业单位职业年金缴费支出</w:t>
            </w:r>
          </w:p>
        </w:tc>
        <w:tc>
          <w:tcPr>
            <w:tcW w:w="1056" w:type="pct"/>
            <w:tcBorders>
              <w:top w:val="single" w:color="000000" w:sz="4" w:space="0"/>
              <w:left w:val="nil"/>
              <w:bottom w:val="single" w:color="000000" w:sz="4" w:space="0"/>
              <w:right w:val="single" w:color="000000" w:sz="4" w:space="0"/>
            </w:tcBorders>
            <w:noWrap/>
            <w:vAlign w:val="center"/>
          </w:tcPr>
          <w:p w14:paraId="4E617ED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81.70</w:t>
            </w:r>
          </w:p>
        </w:tc>
        <w:tc>
          <w:tcPr>
            <w:tcW w:w="684" w:type="pct"/>
            <w:tcBorders>
              <w:top w:val="single" w:color="000000" w:sz="4" w:space="0"/>
              <w:left w:val="nil"/>
              <w:bottom w:val="single" w:color="000000" w:sz="4" w:space="0"/>
              <w:right w:val="single" w:color="000000" w:sz="4" w:space="0"/>
            </w:tcBorders>
            <w:noWrap/>
            <w:vAlign w:val="center"/>
          </w:tcPr>
          <w:p w14:paraId="6351A6E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81.70</w:t>
            </w:r>
          </w:p>
        </w:tc>
        <w:tc>
          <w:tcPr>
            <w:tcW w:w="825" w:type="pct"/>
            <w:tcBorders>
              <w:top w:val="single" w:color="000000" w:sz="4" w:space="0"/>
              <w:left w:val="nil"/>
              <w:bottom w:val="single" w:color="000000" w:sz="4" w:space="0"/>
              <w:right w:val="single" w:color="000000" w:sz="4" w:space="0"/>
            </w:tcBorders>
            <w:noWrap/>
            <w:vAlign w:val="center"/>
          </w:tcPr>
          <w:p w14:paraId="74F8B66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5CDFD64A">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E36748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579" w:type="pct"/>
            <w:tcBorders>
              <w:top w:val="single" w:color="000000" w:sz="4" w:space="0"/>
              <w:left w:val="nil"/>
              <w:bottom w:val="single" w:color="000000" w:sz="4" w:space="0"/>
              <w:right w:val="single" w:color="000000" w:sz="4" w:space="0"/>
            </w:tcBorders>
            <w:noWrap/>
            <w:vAlign w:val="center"/>
          </w:tcPr>
          <w:p w14:paraId="5F42CA2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1056" w:type="pct"/>
            <w:tcBorders>
              <w:top w:val="single" w:color="000000" w:sz="4" w:space="0"/>
              <w:left w:val="nil"/>
              <w:bottom w:val="single" w:color="000000" w:sz="4" w:space="0"/>
              <w:right w:val="single" w:color="000000" w:sz="4" w:space="0"/>
            </w:tcBorders>
            <w:noWrap/>
            <w:vAlign w:val="center"/>
          </w:tcPr>
          <w:p w14:paraId="5670D30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69.45</w:t>
            </w:r>
          </w:p>
        </w:tc>
        <w:tc>
          <w:tcPr>
            <w:tcW w:w="684" w:type="pct"/>
            <w:tcBorders>
              <w:top w:val="single" w:color="000000" w:sz="4" w:space="0"/>
              <w:left w:val="nil"/>
              <w:bottom w:val="single" w:color="000000" w:sz="4" w:space="0"/>
              <w:right w:val="single" w:color="000000" w:sz="4" w:space="0"/>
            </w:tcBorders>
            <w:noWrap/>
            <w:vAlign w:val="center"/>
          </w:tcPr>
          <w:p w14:paraId="5C8F206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69.45</w:t>
            </w:r>
          </w:p>
        </w:tc>
        <w:tc>
          <w:tcPr>
            <w:tcW w:w="825" w:type="pct"/>
            <w:tcBorders>
              <w:top w:val="single" w:color="000000" w:sz="4" w:space="0"/>
              <w:left w:val="nil"/>
              <w:bottom w:val="single" w:color="000000" w:sz="4" w:space="0"/>
              <w:right w:val="single" w:color="000000" w:sz="4" w:space="0"/>
            </w:tcBorders>
            <w:noWrap/>
            <w:vAlign w:val="center"/>
          </w:tcPr>
          <w:p w14:paraId="77854C0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94194A0">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DDEE31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579" w:type="pct"/>
            <w:tcBorders>
              <w:top w:val="single" w:color="000000" w:sz="4" w:space="0"/>
              <w:left w:val="nil"/>
              <w:bottom w:val="single" w:color="000000" w:sz="4" w:space="0"/>
              <w:right w:val="single" w:color="000000" w:sz="4" w:space="0"/>
            </w:tcBorders>
            <w:noWrap/>
            <w:vAlign w:val="center"/>
          </w:tcPr>
          <w:p w14:paraId="5FFF253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1056" w:type="pct"/>
            <w:tcBorders>
              <w:top w:val="single" w:color="000000" w:sz="4" w:space="0"/>
              <w:left w:val="nil"/>
              <w:bottom w:val="single" w:color="000000" w:sz="4" w:space="0"/>
              <w:right w:val="single" w:color="000000" w:sz="4" w:space="0"/>
            </w:tcBorders>
            <w:noWrap/>
            <w:vAlign w:val="center"/>
          </w:tcPr>
          <w:p w14:paraId="288134B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69.45</w:t>
            </w:r>
          </w:p>
        </w:tc>
        <w:tc>
          <w:tcPr>
            <w:tcW w:w="684" w:type="pct"/>
            <w:tcBorders>
              <w:top w:val="single" w:color="000000" w:sz="4" w:space="0"/>
              <w:left w:val="nil"/>
              <w:bottom w:val="single" w:color="000000" w:sz="4" w:space="0"/>
              <w:right w:val="single" w:color="000000" w:sz="4" w:space="0"/>
            </w:tcBorders>
            <w:noWrap/>
            <w:vAlign w:val="center"/>
          </w:tcPr>
          <w:p w14:paraId="00A42BD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69.45</w:t>
            </w:r>
          </w:p>
        </w:tc>
        <w:tc>
          <w:tcPr>
            <w:tcW w:w="825" w:type="pct"/>
            <w:tcBorders>
              <w:top w:val="single" w:color="000000" w:sz="4" w:space="0"/>
              <w:left w:val="nil"/>
              <w:bottom w:val="single" w:color="000000" w:sz="4" w:space="0"/>
              <w:right w:val="single" w:color="000000" w:sz="4" w:space="0"/>
            </w:tcBorders>
            <w:noWrap/>
            <w:vAlign w:val="center"/>
          </w:tcPr>
          <w:p w14:paraId="13F7788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8499F0A">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22F6BD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1579" w:type="pct"/>
            <w:tcBorders>
              <w:top w:val="single" w:color="000000" w:sz="4" w:space="0"/>
              <w:left w:val="nil"/>
              <w:bottom w:val="single" w:color="000000" w:sz="4" w:space="0"/>
              <w:right w:val="single" w:color="000000" w:sz="4" w:space="0"/>
            </w:tcBorders>
            <w:noWrap/>
            <w:vAlign w:val="center"/>
          </w:tcPr>
          <w:p w14:paraId="62FCDDA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1056" w:type="pct"/>
            <w:tcBorders>
              <w:top w:val="single" w:color="000000" w:sz="4" w:space="0"/>
              <w:left w:val="nil"/>
              <w:bottom w:val="single" w:color="000000" w:sz="4" w:space="0"/>
              <w:right w:val="single" w:color="000000" w:sz="4" w:space="0"/>
            </w:tcBorders>
            <w:noWrap/>
            <w:vAlign w:val="center"/>
          </w:tcPr>
          <w:p w14:paraId="68BD7D0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69.45</w:t>
            </w:r>
          </w:p>
        </w:tc>
        <w:tc>
          <w:tcPr>
            <w:tcW w:w="684" w:type="pct"/>
            <w:tcBorders>
              <w:top w:val="single" w:color="000000" w:sz="4" w:space="0"/>
              <w:left w:val="nil"/>
              <w:bottom w:val="single" w:color="000000" w:sz="4" w:space="0"/>
              <w:right w:val="single" w:color="000000" w:sz="4" w:space="0"/>
            </w:tcBorders>
            <w:noWrap/>
            <w:vAlign w:val="center"/>
          </w:tcPr>
          <w:p w14:paraId="63D6FDE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69.45</w:t>
            </w:r>
          </w:p>
        </w:tc>
        <w:tc>
          <w:tcPr>
            <w:tcW w:w="825" w:type="pct"/>
            <w:tcBorders>
              <w:top w:val="single" w:color="000000" w:sz="4" w:space="0"/>
              <w:left w:val="nil"/>
              <w:bottom w:val="single" w:color="000000" w:sz="4" w:space="0"/>
              <w:right w:val="single" w:color="000000" w:sz="4" w:space="0"/>
            </w:tcBorders>
            <w:noWrap/>
            <w:vAlign w:val="center"/>
          </w:tcPr>
          <w:p w14:paraId="321E2E1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617A49BB">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3D6EDC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2101103</w:t>
            </w:r>
          </w:p>
        </w:tc>
        <w:tc>
          <w:tcPr>
            <w:tcW w:w="1579" w:type="pct"/>
            <w:tcBorders>
              <w:top w:val="single" w:color="000000" w:sz="4" w:space="0"/>
              <w:left w:val="nil"/>
              <w:bottom w:val="single" w:color="000000" w:sz="4" w:space="0"/>
              <w:right w:val="single" w:color="000000" w:sz="4" w:space="0"/>
            </w:tcBorders>
            <w:noWrap/>
            <w:vAlign w:val="center"/>
          </w:tcPr>
          <w:p w14:paraId="63B3979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公务员医疗补助</w:t>
            </w:r>
          </w:p>
        </w:tc>
        <w:tc>
          <w:tcPr>
            <w:tcW w:w="1056" w:type="pct"/>
            <w:tcBorders>
              <w:top w:val="single" w:color="000000" w:sz="4" w:space="0"/>
              <w:left w:val="nil"/>
              <w:bottom w:val="single" w:color="000000" w:sz="4" w:space="0"/>
              <w:right w:val="single" w:color="000000" w:sz="4" w:space="0"/>
            </w:tcBorders>
            <w:noWrap/>
            <w:vAlign w:val="center"/>
          </w:tcPr>
          <w:p w14:paraId="012CC3E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684" w:type="pct"/>
            <w:tcBorders>
              <w:top w:val="single" w:color="000000" w:sz="4" w:space="0"/>
              <w:left w:val="nil"/>
              <w:bottom w:val="single" w:color="000000" w:sz="4" w:space="0"/>
              <w:right w:val="single" w:color="000000" w:sz="4" w:space="0"/>
            </w:tcBorders>
            <w:noWrap/>
            <w:vAlign w:val="center"/>
          </w:tcPr>
          <w:p w14:paraId="69C1130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14:paraId="3B9A7CA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380A4681">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E7F1F6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579" w:type="pct"/>
            <w:tcBorders>
              <w:top w:val="single" w:color="000000" w:sz="4" w:space="0"/>
              <w:left w:val="nil"/>
              <w:bottom w:val="single" w:color="000000" w:sz="4" w:space="0"/>
              <w:right w:val="single" w:color="000000" w:sz="4" w:space="0"/>
            </w:tcBorders>
            <w:noWrap/>
            <w:vAlign w:val="center"/>
          </w:tcPr>
          <w:p w14:paraId="736869C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1056" w:type="pct"/>
            <w:tcBorders>
              <w:top w:val="single" w:color="000000" w:sz="4" w:space="0"/>
              <w:left w:val="nil"/>
              <w:bottom w:val="single" w:color="000000" w:sz="4" w:space="0"/>
              <w:right w:val="single" w:color="000000" w:sz="4" w:space="0"/>
            </w:tcBorders>
            <w:noWrap/>
            <w:vAlign w:val="center"/>
          </w:tcPr>
          <w:p w14:paraId="342E13B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74.58</w:t>
            </w:r>
          </w:p>
        </w:tc>
        <w:tc>
          <w:tcPr>
            <w:tcW w:w="684" w:type="pct"/>
            <w:tcBorders>
              <w:top w:val="single" w:color="000000" w:sz="4" w:space="0"/>
              <w:left w:val="nil"/>
              <w:bottom w:val="single" w:color="000000" w:sz="4" w:space="0"/>
              <w:right w:val="single" w:color="000000" w:sz="4" w:space="0"/>
            </w:tcBorders>
            <w:noWrap/>
            <w:vAlign w:val="center"/>
          </w:tcPr>
          <w:p w14:paraId="2B0AF69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74.58</w:t>
            </w:r>
          </w:p>
        </w:tc>
        <w:tc>
          <w:tcPr>
            <w:tcW w:w="825" w:type="pct"/>
            <w:tcBorders>
              <w:top w:val="single" w:color="000000" w:sz="4" w:space="0"/>
              <w:left w:val="nil"/>
              <w:bottom w:val="single" w:color="000000" w:sz="4" w:space="0"/>
              <w:right w:val="single" w:color="000000" w:sz="4" w:space="0"/>
            </w:tcBorders>
            <w:noWrap/>
            <w:vAlign w:val="center"/>
          </w:tcPr>
          <w:p w14:paraId="6ABCF60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3E5DD26">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24004F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579" w:type="pct"/>
            <w:tcBorders>
              <w:top w:val="single" w:color="000000" w:sz="4" w:space="0"/>
              <w:left w:val="nil"/>
              <w:bottom w:val="single" w:color="000000" w:sz="4" w:space="0"/>
              <w:right w:val="single" w:color="000000" w:sz="4" w:space="0"/>
            </w:tcBorders>
            <w:noWrap/>
            <w:vAlign w:val="center"/>
          </w:tcPr>
          <w:p w14:paraId="59AF74F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1056" w:type="pct"/>
            <w:tcBorders>
              <w:top w:val="single" w:color="000000" w:sz="4" w:space="0"/>
              <w:left w:val="nil"/>
              <w:bottom w:val="single" w:color="000000" w:sz="4" w:space="0"/>
              <w:right w:val="single" w:color="000000" w:sz="4" w:space="0"/>
            </w:tcBorders>
            <w:noWrap/>
            <w:vAlign w:val="center"/>
          </w:tcPr>
          <w:p w14:paraId="5C2F118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74.58</w:t>
            </w:r>
          </w:p>
        </w:tc>
        <w:tc>
          <w:tcPr>
            <w:tcW w:w="684" w:type="pct"/>
            <w:tcBorders>
              <w:top w:val="single" w:color="000000" w:sz="4" w:space="0"/>
              <w:left w:val="nil"/>
              <w:bottom w:val="single" w:color="000000" w:sz="4" w:space="0"/>
              <w:right w:val="single" w:color="000000" w:sz="4" w:space="0"/>
            </w:tcBorders>
            <w:noWrap/>
            <w:vAlign w:val="center"/>
          </w:tcPr>
          <w:p w14:paraId="7E4A66A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74.58</w:t>
            </w:r>
          </w:p>
        </w:tc>
        <w:tc>
          <w:tcPr>
            <w:tcW w:w="825" w:type="pct"/>
            <w:tcBorders>
              <w:top w:val="single" w:color="000000" w:sz="4" w:space="0"/>
              <w:left w:val="nil"/>
              <w:bottom w:val="single" w:color="000000" w:sz="4" w:space="0"/>
              <w:right w:val="single" w:color="000000" w:sz="4" w:space="0"/>
            </w:tcBorders>
            <w:noWrap/>
            <w:vAlign w:val="center"/>
          </w:tcPr>
          <w:p w14:paraId="29463C2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F536C41">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1F3C0C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579" w:type="pct"/>
            <w:tcBorders>
              <w:top w:val="single" w:color="000000" w:sz="4" w:space="0"/>
              <w:left w:val="nil"/>
              <w:bottom w:val="single" w:color="000000" w:sz="4" w:space="0"/>
              <w:right w:val="single" w:color="000000" w:sz="4" w:space="0"/>
            </w:tcBorders>
            <w:noWrap/>
            <w:vAlign w:val="center"/>
          </w:tcPr>
          <w:p w14:paraId="2AB2A46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1056" w:type="pct"/>
            <w:tcBorders>
              <w:top w:val="single" w:color="000000" w:sz="4" w:space="0"/>
              <w:left w:val="nil"/>
              <w:bottom w:val="single" w:color="000000" w:sz="4" w:space="0"/>
              <w:right w:val="single" w:color="000000" w:sz="4" w:space="0"/>
            </w:tcBorders>
            <w:noWrap/>
            <w:vAlign w:val="center"/>
          </w:tcPr>
          <w:p w14:paraId="0ACA865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74.58</w:t>
            </w:r>
          </w:p>
        </w:tc>
        <w:tc>
          <w:tcPr>
            <w:tcW w:w="684" w:type="pct"/>
            <w:tcBorders>
              <w:top w:val="single" w:color="000000" w:sz="4" w:space="0"/>
              <w:left w:val="nil"/>
              <w:bottom w:val="single" w:color="000000" w:sz="4" w:space="0"/>
              <w:right w:val="single" w:color="000000" w:sz="4" w:space="0"/>
            </w:tcBorders>
            <w:noWrap/>
            <w:vAlign w:val="center"/>
          </w:tcPr>
          <w:p w14:paraId="11A7D22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74.58</w:t>
            </w:r>
          </w:p>
        </w:tc>
        <w:tc>
          <w:tcPr>
            <w:tcW w:w="825" w:type="pct"/>
            <w:tcBorders>
              <w:top w:val="single" w:color="000000" w:sz="4" w:space="0"/>
              <w:left w:val="nil"/>
              <w:bottom w:val="single" w:color="000000" w:sz="4" w:space="0"/>
              <w:right w:val="single" w:color="000000" w:sz="4" w:space="0"/>
            </w:tcBorders>
            <w:noWrap/>
            <w:vAlign w:val="center"/>
          </w:tcPr>
          <w:p w14:paraId="3995378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3AF0EA84">
      <w:pPr>
        <w:jc w:val="left"/>
        <w:rPr>
          <w:rStyle w:val="14"/>
          <w:rFonts w:hint="eastAsia" w:ascii="仿宋" w:hAnsi="仿宋" w:eastAsia="仿宋"/>
          <w:bCs/>
          <w:sz w:val="32"/>
          <w:szCs w:val="32"/>
        </w:rPr>
      </w:pPr>
      <w:r>
        <w:rPr>
          <w:rStyle w:val="14"/>
          <w:rFonts w:hint="eastAsia" w:ascii="仿宋" w:hAnsi="仿宋" w:eastAsia="仿宋"/>
          <w:bCs/>
          <w:sz w:val="32"/>
          <w:szCs w:val="32"/>
        </w:rPr>
        <w:br w:type="page"/>
      </w:r>
    </w:p>
    <w:tbl>
      <w:tblPr>
        <w:tblStyle w:val="7"/>
        <w:tblW w:w="5000" w:type="pct"/>
        <w:tblInd w:w="0" w:type="dxa"/>
        <w:tblLayout w:type="fixed"/>
        <w:tblCellMar>
          <w:top w:w="0" w:type="dxa"/>
          <w:left w:w="108" w:type="dxa"/>
          <w:bottom w:w="0" w:type="dxa"/>
          <w:right w:w="108" w:type="dxa"/>
        </w:tblCellMar>
      </w:tblPr>
      <w:tblGrid>
        <w:gridCol w:w="2005"/>
        <w:gridCol w:w="3119"/>
        <w:gridCol w:w="1903"/>
        <w:gridCol w:w="1798"/>
        <w:gridCol w:w="1857"/>
      </w:tblGrid>
      <w:tr w14:paraId="1765342E">
        <w:tblPrEx>
          <w:tblCellMar>
            <w:top w:w="0" w:type="dxa"/>
            <w:left w:w="108" w:type="dxa"/>
            <w:bottom w:w="0" w:type="dxa"/>
            <w:right w:w="108" w:type="dxa"/>
          </w:tblCellMar>
        </w:tblPrEx>
        <w:trPr>
          <w:trHeight w:val="585" w:hRule="atLeast"/>
        </w:trPr>
        <w:tc>
          <w:tcPr>
            <w:tcW w:w="5000" w:type="pct"/>
            <w:gridSpan w:val="5"/>
            <w:noWrap/>
            <w:vAlign w:val="center"/>
          </w:tcPr>
          <w:p w14:paraId="2B726103">
            <w:pPr>
              <w:widowControl/>
              <w:jc w:val="center"/>
              <w:rPr>
                <w:rFonts w:hint="eastAsia" w:ascii="宋体" w:hAnsi="宋体" w:eastAsia="宋体" w:cs="Arial"/>
                <w:b/>
                <w:color w:val="000000"/>
                <w:kern w:val="0"/>
                <w:sz w:val="44"/>
                <w:szCs w:val="44"/>
              </w:rPr>
            </w:pPr>
            <w:r>
              <w:rPr>
                <w:rFonts w:hint="eastAsia" w:asciiTheme="minorEastAsia" w:hAnsiTheme="minorEastAsia" w:eastAsiaTheme="minorEastAsia" w:cstheme="minorEastAsia"/>
                <w:b/>
                <w:bCs/>
                <w:color w:val="000000"/>
                <w:kern w:val="0"/>
                <w:sz w:val="24"/>
                <w:szCs w:val="24"/>
                <w:lang w:bidi="ar"/>
              </w:rPr>
              <w:t>一般公共预算基本支出表</w:t>
            </w:r>
          </w:p>
        </w:tc>
      </w:tr>
      <w:tr w14:paraId="7784C355">
        <w:tblPrEx>
          <w:tblCellMar>
            <w:top w:w="0" w:type="dxa"/>
            <w:left w:w="108" w:type="dxa"/>
            <w:bottom w:w="0" w:type="dxa"/>
            <w:right w:w="108" w:type="dxa"/>
          </w:tblCellMar>
        </w:tblPrEx>
        <w:trPr>
          <w:trHeight w:val="420" w:hRule="atLeast"/>
        </w:trPr>
        <w:tc>
          <w:tcPr>
            <w:tcW w:w="2398" w:type="pct"/>
            <w:gridSpan w:val="2"/>
            <w:noWrap/>
            <w:vAlign w:val="center"/>
          </w:tcPr>
          <w:p w14:paraId="31B41F85">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填报单位:318新余市渝水区财政局（部门）</w:t>
            </w:r>
          </w:p>
        </w:tc>
        <w:tc>
          <w:tcPr>
            <w:tcW w:w="891" w:type="pct"/>
            <w:noWrap/>
            <w:vAlign w:val="bottom"/>
          </w:tcPr>
          <w:p w14:paraId="19DD71B1">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42" w:type="pct"/>
            <w:noWrap/>
            <w:vAlign w:val="bottom"/>
          </w:tcPr>
          <w:p w14:paraId="3BDCBAE5">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67" w:type="pct"/>
            <w:noWrap/>
            <w:vAlign w:val="center"/>
          </w:tcPr>
          <w:p w14:paraId="5FA47281">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593CD7E2">
        <w:tblPrEx>
          <w:tblCellMar>
            <w:top w:w="0" w:type="dxa"/>
            <w:left w:w="108" w:type="dxa"/>
            <w:bottom w:w="0" w:type="dxa"/>
            <w:right w:w="108" w:type="dxa"/>
          </w:tblCellMar>
        </w:tblPrEx>
        <w:trPr>
          <w:cantSplit/>
          <w:trHeight w:val="283" w:hRule="atLeast"/>
        </w:trPr>
        <w:tc>
          <w:tcPr>
            <w:tcW w:w="2398" w:type="pct"/>
            <w:gridSpan w:val="2"/>
            <w:tcBorders>
              <w:top w:val="single" w:color="000000" w:sz="4" w:space="0"/>
              <w:left w:val="single" w:color="000000" w:sz="4" w:space="0"/>
              <w:bottom w:val="single" w:color="000000" w:sz="4" w:space="0"/>
              <w:right w:val="single" w:color="000000" w:sz="4" w:space="0"/>
            </w:tcBorders>
            <w:noWrap/>
            <w:vAlign w:val="center"/>
          </w:tcPr>
          <w:p w14:paraId="68FC8E3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支出经济分类科目</w:t>
            </w:r>
          </w:p>
        </w:tc>
        <w:tc>
          <w:tcPr>
            <w:tcW w:w="2601" w:type="pct"/>
            <w:gridSpan w:val="3"/>
            <w:tcBorders>
              <w:top w:val="single" w:color="000000" w:sz="4" w:space="0"/>
              <w:left w:val="nil"/>
              <w:bottom w:val="single" w:color="000000" w:sz="4" w:space="0"/>
              <w:right w:val="single" w:color="000000" w:sz="4" w:space="0"/>
            </w:tcBorders>
            <w:noWrap/>
            <w:vAlign w:val="center"/>
          </w:tcPr>
          <w:p w14:paraId="320F164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年基本支出</w:t>
            </w:r>
          </w:p>
        </w:tc>
      </w:tr>
      <w:tr w14:paraId="29192338">
        <w:tblPrEx>
          <w:tblCellMar>
            <w:top w:w="0" w:type="dxa"/>
            <w:left w:w="108" w:type="dxa"/>
            <w:bottom w:w="0" w:type="dxa"/>
            <w:right w:w="108" w:type="dxa"/>
          </w:tblCellMar>
        </w:tblPrEx>
        <w:trPr>
          <w:cantSplit/>
          <w:trHeight w:val="283" w:hRule="atLeast"/>
        </w:trPr>
        <w:tc>
          <w:tcPr>
            <w:tcW w:w="938" w:type="pct"/>
            <w:tcBorders>
              <w:top w:val="nil"/>
              <w:left w:val="single" w:color="000000" w:sz="4" w:space="0"/>
              <w:bottom w:val="single" w:color="000000" w:sz="4" w:space="0"/>
              <w:right w:val="single" w:color="000000" w:sz="4" w:space="0"/>
            </w:tcBorders>
            <w:noWrap/>
            <w:vAlign w:val="center"/>
          </w:tcPr>
          <w:p w14:paraId="2A92E5D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460" w:type="pct"/>
            <w:tcBorders>
              <w:top w:val="nil"/>
              <w:left w:val="nil"/>
              <w:bottom w:val="single" w:color="000000" w:sz="4" w:space="0"/>
              <w:right w:val="nil"/>
            </w:tcBorders>
            <w:noWrap/>
            <w:vAlign w:val="center"/>
          </w:tcPr>
          <w:p w14:paraId="567D7C6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891" w:type="pct"/>
            <w:tcBorders>
              <w:top w:val="nil"/>
              <w:left w:val="single" w:color="000000" w:sz="4" w:space="0"/>
              <w:bottom w:val="single" w:color="000000" w:sz="4" w:space="0"/>
              <w:right w:val="single" w:color="000000" w:sz="4" w:space="0"/>
            </w:tcBorders>
            <w:noWrap/>
            <w:vAlign w:val="center"/>
          </w:tcPr>
          <w:p w14:paraId="5BF03CB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842" w:type="pct"/>
            <w:tcBorders>
              <w:top w:val="nil"/>
              <w:left w:val="nil"/>
              <w:bottom w:val="single" w:color="000000" w:sz="4" w:space="0"/>
              <w:right w:val="single" w:color="000000" w:sz="4" w:space="0"/>
            </w:tcBorders>
            <w:noWrap/>
            <w:vAlign w:val="center"/>
          </w:tcPr>
          <w:p w14:paraId="6004954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人员经费</w:t>
            </w:r>
          </w:p>
        </w:tc>
        <w:tc>
          <w:tcPr>
            <w:tcW w:w="867" w:type="pct"/>
            <w:tcBorders>
              <w:top w:val="nil"/>
              <w:left w:val="nil"/>
              <w:bottom w:val="single" w:color="000000" w:sz="4" w:space="0"/>
              <w:right w:val="single" w:color="000000" w:sz="4" w:space="0"/>
            </w:tcBorders>
            <w:noWrap/>
            <w:vAlign w:val="center"/>
          </w:tcPr>
          <w:p w14:paraId="6777B00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公用经费</w:t>
            </w:r>
          </w:p>
        </w:tc>
      </w:tr>
      <w:tr w14:paraId="50F8340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609081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5F17E7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20DF58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09F19B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17326C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r w14:paraId="5D607AA7">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8A5BA28">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D7DBE5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540FC3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1,736.12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8E2CB3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1,599.63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D7D4C6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136.49</w:t>
            </w:r>
          </w:p>
        </w:tc>
      </w:tr>
      <w:tr w14:paraId="3C97818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F77BCD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8BFD6C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1981E7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1,476.39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6A0B60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1,476.39</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348939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5575AED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F589F5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7D7FB4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基本工资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6C0626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402.99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882EDF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402.99</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D27330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51C617C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629D1F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A33A40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津贴补贴</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840307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67.98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1711D0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67.98</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DA0400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7F506C0D">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2F9280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36DA8F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奖金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0E8AF0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125.13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D3AB8C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125.13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D5BA28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7A7F536D">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512252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30106</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0EFF0A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伙食补助费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7415E8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46.20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767EEC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46.20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BC6AAE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53106AFF">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2CF955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BE04E2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绩效工资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088C8C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426.40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A2F93D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426.40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FA7305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1649AA0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BC4D06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30108</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E9A65A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872F53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163.41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AE105D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163.41</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30BF5C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69AB2944">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24D117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A9D3F8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职业年金缴费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5DA512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81.70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77C4FF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81.70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EF7607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1806A5FB">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76D039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30110</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318D3C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职工基本医疗保险缴费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97538B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69.45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F38B69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69.45</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91FE60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632D02E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3D4166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246F51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公务员医疗补助缴费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5AA62D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CE81B2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B806C6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028A800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C95289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6F182D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其他社会保障缴费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8E94BB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10.54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3F9476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10.54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9C06BD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73A2F99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E80ABB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71F7B0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974A68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74.58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4677D0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74.58</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00E5F5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13777A27">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81B0A6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A8ABDB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D18C4F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8.01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65E3C4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8.01</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C2FA38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5700CC2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AA496C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A55639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商品和服务支出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88CD20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116.49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503BCA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6BC3B3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116.49</w:t>
            </w:r>
          </w:p>
        </w:tc>
      </w:tr>
      <w:tr w14:paraId="765FEF2F">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ED03F8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904369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办公费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31A874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505D4D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1D6116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10.00</w:t>
            </w:r>
          </w:p>
        </w:tc>
      </w:tr>
      <w:tr w14:paraId="4271EB5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41941D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1EEDDC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印刷费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B661C1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0.50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ECE247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DA3AF0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0.50</w:t>
            </w:r>
          </w:p>
        </w:tc>
      </w:tr>
      <w:tr w14:paraId="795EAE8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6B6837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30204</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57C276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手续费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07AAA2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0.10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F294F0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D3C2FF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0.10</w:t>
            </w:r>
          </w:p>
        </w:tc>
      </w:tr>
      <w:tr w14:paraId="1BB5944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A6A4A8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30205</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AE0DB4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2DC24B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2.50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356825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1D2A7E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2.50</w:t>
            </w:r>
          </w:p>
        </w:tc>
      </w:tr>
      <w:tr w14:paraId="6700D54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B55C86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30206</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7500EC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电费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3BC18B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BF8713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18DA7E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10.00</w:t>
            </w:r>
          </w:p>
        </w:tc>
      </w:tr>
      <w:tr w14:paraId="49BDBC8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783B19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B25092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邮电费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B8D372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2.03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EEB18C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DEBA1F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2.03</w:t>
            </w:r>
          </w:p>
        </w:tc>
      </w:tr>
      <w:tr w14:paraId="365B223E">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B14D59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1247F5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差旅费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97E786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8.00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AD4A84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7CCC83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8.00</w:t>
            </w:r>
          </w:p>
        </w:tc>
      </w:tr>
      <w:tr w14:paraId="3F929717">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060D6B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D89BFF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维修（护）费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655C79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12.00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982672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1207D0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12.00</w:t>
            </w:r>
          </w:p>
        </w:tc>
      </w:tr>
      <w:tr w14:paraId="512FF3E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89E930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30216</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1065AC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培训费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E2FB18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65771F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B2231A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3.00</w:t>
            </w:r>
          </w:p>
        </w:tc>
      </w:tr>
      <w:tr w14:paraId="4D7F45F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C12331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D52126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公务接待费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AB8D4A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202349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C3D16F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7.00</w:t>
            </w:r>
          </w:p>
        </w:tc>
      </w:tr>
      <w:tr w14:paraId="0C96253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C5A79C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30226</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DE785B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劳务费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4C4671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28831A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70669B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3.00</w:t>
            </w:r>
          </w:p>
        </w:tc>
      </w:tr>
      <w:tr w14:paraId="671D8DC4">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D437AC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30228</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2D8EA0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工会经费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A55CD4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7.44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2BC374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724F33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7.44</w:t>
            </w:r>
          </w:p>
        </w:tc>
      </w:tr>
      <w:tr w14:paraId="227309E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A7309C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30239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F174F3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其他交通费用</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F6CE5C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50.78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661427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E87772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50.78</w:t>
            </w:r>
          </w:p>
        </w:tc>
      </w:tr>
      <w:tr w14:paraId="2B61DB7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B65B6C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BC1EC7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其他商品和服务支出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1846D4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0.13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C85586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A587C0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0.13</w:t>
            </w:r>
          </w:p>
        </w:tc>
      </w:tr>
      <w:tr w14:paraId="150D0D24">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7B2B18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298401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对个人和家庭的补助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1F821A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123.25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F44D35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123.25</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9FA533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0F58CEC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8636E4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0DCF0C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退休费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2DF323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121.14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8030D7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121.14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543B9A5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03EB88E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D65A3D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30309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0DF0C9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奖励金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F0F907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1.44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631F1F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1.44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D3CA79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367EC4D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973BB4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69E25D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其他对个人和家庭的补助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7A82FA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0.67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8561D3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0.67</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6C5DF4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BE384F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2C2933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310</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BA8062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资本性支出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472984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20.00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EA385F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DD58EB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20.00</w:t>
            </w:r>
          </w:p>
        </w:tc>
      </w:tr>
      <w:tr w14:paraId="3F4DDB4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4661AA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31002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E5205C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办公设备购置</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94008E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20.00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999C31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9F2C40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20.00</w:t>
            </w:r>
          </w:p>
        </w:tc>
      </w:tr>
    </w:tbl>
    <w:p w14:paraId="10154446">
      <w:pPr>
        <w:widowControl/>
        <w:jc w:val="left"/>
        <w:rPr>
          <w:rStyle w:val="14"/>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001" w:type="pct"/>
        <w:tblInd w:w="0" w:type="dxa"/>
        <w:tblLayout w:type="fixed"/>
        <w:tblCellMar>
          <w:top w:w="0" w:type="dxa"/>
          <w:left w:w="108" w:type="dxa"/>
          <w:bottom w:w="0" w:type="dxa"/>
          <w:right w:w="108" w:type="dxa"/>
        </w:tblCellMar>
      </w:tblPr>
      <w:tblGrid>
        <w:gridCol w:w="1361"/>
        <w:gridCol w:w="649"/>
        <w:gridCol w:w="1462"/>
        <w:gridCol w:w="1151"/>
        <w:gridCol w:w="1585"/>
        <w:gridCol w:w="1012"/>
        <w:gridCol w:w="1274"/>
        <w:gridCol w:w="1160"/>
        <w:gridCol w:w="1030"/>
      </w:tblGrid>
      <w:tr w14:paraId="7DFA7C3B">
        <w:tblPrEx>
          <w:tblCellMar>
            <w:top w:w="0" w:type="dxa"/>
            <w:left w:w="108" w:type="dxa"/>
            <w:bottom w:w="0" w:type="dxa"/>
            <w:right w:w="108" w:type="dxa"/>
          </w:tblCellMar>
        </w:tblPrEx>
        <w:trPr>
          <w:trHeight w:val="450" w:hRule="atLeast"/>
          <w:tblHeader/>
        </w:trPr>
        <w:tc>
          <w:tcPr>
            <w:tcW w:w="636" w:type="pct"/>
            <w:noWrap/>
            <w:vAlign w:val="bottom"/>
          </w:tcPr>
          <w:p w14:paraId="7409FCFD">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303" w:type="pct"/>
            <w:noWrap/>
            <w:vAlign w:val="bottom"/>
          </w:tcPr>
          <w:p w14:paraId="4E1CA436">
            <w:pPr>
              <w:widowControl/>
              <w:jc w:val="left"/>
              <w:rPr>
                <w:rFonts w:ascii="Times New Roman" w:hAnsi="Times New Roman" w:eastAsia="宋体"/>
                <w:kern w:val="0"/>
                <w:sz w:val="20"/>
                <w:szCs w:val="20"/>
              </w:rPr>
            </w:pPr>
          </w:p>
        </w:tc>
        <w:tc>
          <w:tcPr>
            <w:tcW w:w="684" w:type="pct"/>
            <w:noWrap/>
            <w:vAlign w:val="bottom"/>
          </w:tcPr>
          <w:p w14:paraId="5CFF9D60">
            <w:pPr>
              <w:widowControl/>
              <w:jc w:val="left"/>
              <w:rPr>
                <w:rFonts w:ascii="Times New Roman" w:hAnsi="Times New Roman" w:eastAsia="宋体"/>
                <w:kern w:val="0"/>
                <w:sz w:val="20"/>
                <w:szCs w:val="20"/>
              </w:rPr>
            </w:pPr>
          </w:p>
        </w:tc>
        <w:tc>
          <w:tcPr>
            <w:tcW w:w="538" w:type="pct"/>
            <w:noWrap/>
            <w:vAlign w:val="bottom"/>
          </w:tcPr>
          <w:p w14:paraId="2DE786CD">
            <w:pPr>
              <w:widowControl/>
              <w:jc w:val="left"/>
              <w:rPr>
                <w:rFonts w:ascii="Times New Roman" w:hAnsi="Times New Roman" w:eastAsia="宋体"/>
                <w:kern w:val="0"/>
                <w:sz w:val="20"/>
                <w:szCs w:val="20"/>
              </w:rPr>
            </w:pPr>
          </w:p>
        </w:tc>
        <w:tc>
          <w:tcPr>
            <w:tcW w:w="2836" w:type="pct"/>
            <w:gridSpan w:val="5"/>
            <w:noWrap/>
            <w:vAlign w:val="center"/>
          </w:tcPr>
          <w:p w14:paraId="09DE19E1">
            <w:pPr>
              <w:widowControl/>
              <w:snapToGrid w:val="0"/>
              <w:jc w:val="right"/>
              <w:textAlignment w:val="center"/>
              <w:rPr>
                <w:rFonts w:hint="eastAsia" w:asciiTheme="minorEastAsia" w:hAnsiTheme="minorEastAsia" w:cstheme="minorEastAsia"/>
                <w:color w:val="000000"/>
                <w:kern w:val="0"/>
                <w:sz w:val="13"/>
                <w:szCs w:val="13"/>
                <w:lang w:eastAsia="zh-CN" w:bidi="ar"/>
              </w:rPr>
            </w:pPr>
          </w:p>
        </w:tc>
      </w:tr>
      <w:tr w14:paraId="22C0E64C">
        <w:tblPrEx>
          <w:tblCellMar>
            <w:top w:w="0" w:type="dxa"/>
            <w:left w:w="108" w:type="dxa"/>
            <w:bottom w:w="0" w:type="dxa"/>
            <w:right w:w="108" w:type="dxa"/>
          </w:tblCellMar>
        </w:tblPrEx>
        <w:trPr>
          <w:trHeight w:val="485" w:hRule="atLeast"/>
          <w:tblHeader/>
        </w:trPr>
        <w:tc>
          <w:tcPr>
            <w:tcW w:w="5000" w:type="pct"/>
            <w:gridSpan w:val="9"/>
            <w:noWrap/>
            <w:vAlign w:val="center"/>
          </w:tcPr>
          <w:p w14:paraId="41724D92">
            <w:pPr>
              <w:widowControl/>
              <w:snapToGrid w:val="0"/>
              <w:jc w:val="center"/>
              <w:textAlignment w:val="center"/>
              <w:rPr>
                <w:rFonts w:hint="default" w:eastAsia="仿宋_GB2312" w:asciiTheme="minorEastAsia" w:hAnsiTheme="minorEastAsia" w:cstheme="minorEastAsia"/>
                <w:color w:val="000000"/>
                <w:kern w:val="0"/>
                <w:sz w:val="13"/>
                <w:szCs w:val="13"/>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财政拨款</w:t>
            </w:r>
            <w:r>
              <w:rPr>
                <w:rFonts w:hint="eastAsia" w:asciiTheme="minorEastAsia" w:hAnsiTheme="minorEastAsia" w:eastAsiaTheme="minorEastAsia" w:cstheme="minorEastAsia"/>
                <w:b/>
                <w:bCs/>
                <w:color w:val="000000"/>
                <w:kern w:val="0"/>
                <w:sz w:val="24"/>
                <w:szCs w:val="24"/>
                <w:lang w:bidi="ar"/>
              </w:rPr>
              <w:t>“三公”经费</w:t>
            </w:r>
            <w:r>
              <w:rPr>
                <w:rFonts w:hint="eastAsia" w:asciiTheme="minorEastAsia" w:hAnsiTheme="minorEastAsia" w:eastAsiaTheme="minorEastAsia" w:cstheme="minorEastAsia"/>
                <w:b/>
                <w:bCs/>
                <w:color w:val="000000"/>
                <w:kern w:val="0"/>
                <w:sz w:val="24"/>
                <w:szCs w:val="24"/>
                <w:lang w:val="en-US" w:eastAsia="zh-CN" w:bidi="ar"/>
              </w:rPr>
              <w:t>支出表</w:t>
            </w:r>
          </w:p>
        </w:tc>
      </w:tr>
      <w:tr w14:paraId="2301B206">
        <w:tblPrEx>
          <w:tblCellMar>
            <w:top w:w="0" w:type="dxa"/>
            <w:left w:w="108" w:type="dxa"/>
            <w:bottom w:w="0" w:type="dxa"/>
            <w:right w:w="108" w:type="dxa"/>
          </w:tblCellMar>
        </w:tblPrEx>
        <w:trPr>
          <w:trHeight w:val="340" w:hRule="atLeast"/>
          <w:tblHeader/>
        </w:trPr>
        <w:tc>
          <w:tcPr>
            <w:tcW w:w="2163" w:type="pct"/>
            <w:gridSpan w:val="4"/>
            <w:noWrap/>
            <w:vAlign w:val="center"/>
          </w:tcPr>
          <w:p w14:paraId="3A7D41D9">
            <w:pPr>
              <w:widowControl/>
              <w:jc w:val="left"/>
              <w:rPr>
                <w:rFonts w:ascii="Times New Roman" w:hAnsi="Times New Roman" w:eastAsia="宋体"/>
                <w:kern w:val="0"/>
                <w:sz w:val="20"/>
                <w:szCs w:val="20"/>
              </w:rPr>
            </w:pPr>
            <w:r>
              <w:rPr>
                <w:rFonts w:hint="eastAsia" w:asciiTheme="minorEastAsia" w:hAnsiTheme="minorEastAsia" w:cstheme="minorEastAsia"/>
                <w:color w:val="000000"/>
                <w:kern w:val="0"/>
                <w:sz w:val="18"/>
                <w:szCs w:val="18"/>
                <w:lang w:bidi="ar"/>
              </w:rPr>
              <w:t>填报单位:318新余市渝水区财政局（部门）</w:t>
            </w:r>
          </w:p>
        </w:tc>
        <w:tc>
          <w:tcPr>
            <w:tcW w:w="742" w:type="pct"/>
            <w:noWrap/>
            <w:vAlign w:val="bottom"/>
          </w:tcPr>
          <w:p w14:paraId="6A85774F">
            <w:pPr>
              <w:widowControl/>
              <w:jc w:val="left"/>
              <w:rPr>
                <w:rFonts w:ascii="Times New Roman" w:hAnsi="Times New Roman" w:eastAsia="宋体"/>
                <w:kern w:val="0"/>
                <w:sz w:val="20"/>
                <w:szCs w:val="20"/>
              </w:rPr>
            </w:pPr>
          </w:p>
        </w:tc>
        <w:tc>
          <w:tcPr>
            <w:tcW w:w="474" w:type="pct"/>
            <w:noWrap/>
            <w:vAlign w:val="bottom"/>
          </w:tcPr>
          <w:p w14:paraId="788C0C35">
            <w:pPr>
              <w:widowControl/>
              <w:jc w:val="left"/>
              <w:rPr>
                <w:rFonts w:ascii="Times New Roman" w:hAnsi="Times New Roman" w:eastAsia="宋体"/>
                <w:kern w:val="0"/>
                <w:sz w:val="20"/>
                <w:szCs w:val="20"/>
              </w:rPr>
            </w:pPr>
          </w:p>
        </w:tc>
        <w:tc>
          <w:tcPr>
            <w:tcW w:w="596" w:type="pct"/>
            <w:noWrap/>
            <w:vAlign w:val="bottom"/>
          </w:tcPr>
          <w:p w14:paraId="6F9694B6">
            <w:pPr>
              <w:widowControl/>
              <w:jc w:val="left"/>
              <w:rPr>
                <w:rFonts w:ascii="Times New Roman" w:hAnsi="Times New Roman" w:eastAsia="宋体"/>
                <w:kern w:val="0"/>
                <w:sz w:val="20"/>
                <w:szCs w:val="20"/>
              </w:rPr>
            </w:pPr>
          </w:p>
        </w:tc>
        <w:tc>
          <w:tcPr>
            <w:tcW w:w="1023" w:type="pct"/>
            <w:gridSpan w:val="2"/>
            <w:noWrap/>
            <w:vAlign w:val="bottom"/>
          </w:tcPr>
          <w:p w14:paraId="3CA201C4">
            <w:pPr>
              <w:widowControl/>
              <w:snapToGrid w:val="0"/>
              <w:jc w:val="right"/>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单位：万元</w:t>
            </w:r>
          </w:p>
        </w:tc>
      </w:tr>
      <w:tr w14:paraId="746445E9">
        <w:tblPrEx>
          <w:tblCellMar>
            <w:top w:w="0" w:type="dxa"/>
            <w:left w:w="108" w:type="dxa"/>
            <w:bottom w:w="0" w:type="dxa"/>
            <w:right w:w="108" w:type="dxa"/>
          </w:tblCellMar>
        </w:tblPrEx>
        <w:trPr>
          <w:cantSplit/>
          <w:trHeight w:val="283" w:hRule="atLeast"/>
          <w:tblHeader/>
        </w:trPr>
        <w:tc>
          <w:tcPr>
            <w:tcW w:w="940" w:type="pct"/>
            <w:gridSpan w:val="2"/>
            <w:vMerge w:val="restart"/>
            <w:tcBorders>
              <w:top w:val="single" w:color="000000" w:sz="4" w:space="0"/>
              <w:left w:val="single" w:color="000000" w:sz="4" w:space="0"/>
              <w:right w:val="single" w:color="000000" w:sz="4" w:space="0"/>
            </w:tcBorders>
            <w:noWrap/>
            <w:vAlign w:val="center"/>
          </w:tcPr>
          <w:p w14:paraId="6EF5550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965" w:type="pct"/>
            <w:gridSpan w:val="3"/>
            <w:tcBorders>
              <w:top w:val="single" w:color="000000" w:sz="4" w:space="0"/>
              <w:left w:val="nil"/>
              <w:bottom w:val="single" w:color="000000" w:sz="4" w:space="0"/>
              <w:right w:val="single" w:color="000000" w:sz="4" w:space="0"/>
            </w:tcBorders>
            <w:noWrap/>
            <w:vAlign w:val="center"/>
          </w:tcPr>
          <w:p w14:paraId="33E6492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因公出国(境)费</w:t>
            </w:r>
          </w:p>
        </w:tc>
        <w:tc>
          <w:tcPr>
            <w:tcW w:w="474" w:type="pct"/>
            <w:vMerge w:val="restart"/>
            <w:tcBorders>
              <w:top w:val="single" w:color="000000" w:sz="4" w:space="0"/>
              <w:left w:val="single" w:color="000000" w:sz="4" w:space="0"/>
              <w:bottom w:val="single" w:color="000000" w:sz="4" w:space="0"/>
              <w:right w:val="single" w:color="000000" w:sz="4" w:space="0"/>
            </w:tcBorders>
            <w:noWrap/>
            <w:vAlign w:val="center"/>
          </w:tcPr>
          <w:p w14:paraId="7511FD9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公务接待费</w:t>
            </w:r>
          </w:p>
        </w:tc>
        <w:tc>
          <w:tcPr>
            <w:tcW w:w="1620" w:type="pct"/>
            <w:gridSpan w:val="3"/>
            <w:tcBorders>
              <w:top w:val="single" w:color="000000" w:sz="4" w:space="0"/>
              <w:left w:val="nil"/>
              <w:bottom w:val="single" w:color="000000" w:sz="4" w:space="0"/>
              <w:right w:val="single" w:color="000000" w:sz="4" w:space="0"/>
            </w:tcBorders>
            <w:noWrap/>
            <w:vAlign w:val="center"/>
          </w:tcPr>
          <w:p w14:paraId="4BF5952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公务用车购置及运行维护费</w:t>
            </w:r>
          </w:p>
        </w:tc>
      </w:tr>
      <w:tr w14:paraId="2836113F">
        <w:tblPrEx>
          <w:tblCellMar>
            <w:top w:w="0" w:type="dxa"/>
            <w:left w:w="108" w:type="dxa"/>
            <w:bottom w:w="0" w:type="dxa"/>
            <w:right w:w="108" w:type="dxa"/>
          </w:tblCellMar>
        </w:tblPrEx>
        <w:trPr>
          <w:cantSplit/>
          <w:trHeight w:val="512" w:hRule="atLeast"/>
          <w:tblHeader/>
        </w:trPr>
        <w:tc>
          <w:tcPr>
            <w:tcW w:w="940" w:type="pct"/>
            <w:gridSpan w:val="2"/>
            <w:vMerge w:val="continue"/>
            <w:tcBorders>
              <w:left w:val="single" w:color="000000" w:sz="4" w:space="0"/>
              <w:bottom w:val="single" w:color="000000" w:sz="4" w:space="0"/>
              <w:right w:val="single" w:color="000000" w:sz="4" w:space="0"/>
            </w:tcBorders>
            <w:vAlign w:val="center"/>
          </w:tcPr>
          <w:p w14:paraId="11F1AB0F">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84" w:type="pct"/>
            <w:tcBorders>
              <w:top w:val="nil"/>
              <w:left w:val="nil"/>
              <w:bottom w:val="single" w:color="000000" w:sz="4" w:space="0"/>
              <w:right w:val="single" w:color="000000" w:sz="4" w:space="0"/>
            </w:tcBorders>
            <w:noWrap/>
            <w:vAlign w:val="center"/>
          </w:tcPr>
          <w:p w14:paraId="58B3E96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38" w:type="pct"/>
            <w:tcBorders>
              <w:top w:val="nil"/>
              <w:left w:val="nil"/>
              <w:bottom w:val="single" w:color="000000" w:sz="4" w:space="0"/>
              <w:right w:val="single" w:color="000000" w:sz="4" w:space="0"/>
            </w:tcBorders>
            <w:vAlign w:val="center"/>
          </w:tcPr>
          <w:p w14:paraId="108AE45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一般公务出国（境）费</w:t>
            </w:r>
          </w:p>
        </w:tc>
        <w:tc>
          <w:tcPr>
            <w:tcW w:w="742" w:type="pct"/>
            <w:tcBorders>
              <w:top w:val="nil"/>
              <w:left w:val="nil"/>
              <w:bottom w:val="single" w:color="000000" w:sz="4" w:space="0"/>
              <w:right w:val="single" w:color="000000" w:sz="4" w:space="0"/>
            </w:tcBorders>
            <w:vAlign w:val="center"/>
          </w:tcPr>
          <w:p w14:paraId="7AF9992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高等院校和科研院所学术交流合作出国（境）费</w:t>
            </w:r>
          </w:p>
        </w:tc>
        <w:tc>
          <w:tcPr>
            <w:tcW w:w="474" w:type="pct"/>
            <w:vMerge w:val="continue"/>
            <w:tcBorders>
              <w:top w:val="single" w:color="000000" w:sz="4" w:space="0"/>
              <w:left w:val="single" w:color="000000" w:sz="4" w:space="0"/>
              <w:bottom w:val="single" w:color="000000" w:sz="4" w:space="0"/>
              <w:right w:val="single" w:color="000000" w:sz="4" w:space="0"/>
            </w:tcBorders>
            <w:vAlign w:val="center"/>
          </w:tcPr>
          <w:p w14:paraId="4544B141">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596" w:type="pct"/>
            <w:tcBorders>
              <w:top w:val="nil"/>
              <w:left w:val="nil"/>
              <w:bottom w:val="single" w:color="000000" w:sz="4" w:space="0"/>
              <w:right w:val="single" w:color="000000" w:sz="4" w:space="0"/>
            </w:tcBorders>
            <w:noWrap/>
            <w:vAlign w:val="center"/>
          </w:tcPr>
          <w:p w14:paraId="78164CC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43" w:type="pct"/>
            <w:tcBorders>
              <w:top w:val="nil"/>
              <w:left w:val="nil"/>
              <w:bottom w:val="single" w:color="000000" w:sz="4" w:space="0"/>
              <w:right w:val="single" w:color="000000" w:sz="4" w:space="0"/>
            </w:tcBorders>
            <w:vAlign w:val="center"/>
          </w:tcPr>
          <w:p w14:paraId="3E511CD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公务用车运行维护费</w:t>
            </w:r>
          </w:p>
        </w:tc>
        <w:tc>
          <w:tcPr>
            <w:tcW w:w="479" w:type="pct"/>
            <w:tcBorders>
              <w:top w:val="nil"/>
              <w:left w:val="nil"/>
              <w:bottom w:val="single" w:color="000000" w:sz="4" w:space="0"/>
              <w:right w:val="single" w:color="000000" w:sz="4" w:space="0"/>
            </w:tcBorders>
            <w:noWrap/>
            <w:vAlign w:val="center"/>
          </w:tcPr>
          <w:p w14:paraId="7551E4D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w:t>
            </w:r>
          </w:p>
        </w:tc>
      </w:tr>
      <w:tr w14:paraId="7C8B7926">
        <w:tblPrEx>
          <w:tblCellMar>
            <w:top w:w="0" w:type="dxa"/>
            <w:left w:w="108" w:type="dxa"/>
            <w:bottom w:w="0" w:type="dxa"/>
            <w:right w:w="108" w:type="dxa"/>
          </w:tblCellMar>
        </w:tblPrEx>
        <w:trPr>
          <w:cantSplit/>
          <w:trHeight w:val="283" w:hRule="atLeast"/>
          <w:tblHeader/>
        </w:trPr>
        <w:tc>
          <w:tcPr>
            <w:tcW w:w="940" w:type="pct"/>
            <w:gridSpan w:val="2"/>
            <w:tcBorders>
              <w:top w:val="nil"/>
              <w:left w:val="single" w:color="000000" w:sz="4" w:space="0"/>
              <w:bottom w:val="nil"/>
              <w:right w:val="nil"/>
            </w:tcBorders>
            <w:vAlign w:val="center"/>
          </w:tcPr>
          <w:p w14:paraId="18FC7EE0">
            <w:pPr>
              <w:widowControl/>
              <w:snapToGrid w:val="0"/>
              <w:jc w:val="center"/>
              <w:textAlignment w:val="center"/>
              <w:rPr>
                <w:rFonts w:hint="eastAsia" w:asciiTheme="minorEastAsia" w:hAnsiTheme="minorEastAsia" w:eastAsiaTheme="minorEastAsia" w:cstheme="minorEastAsia"/>
                <w:color w:val="000000"/>
                <w:kern w:val="0"/>
                <w:sz w:val="18"/>
                <w:szCs w:val="18"/>
                <w:lang w:eastAsia="zh-CN" w:bidi="ar"/>
              </w:rPr>
            </w:pPr>
            <w:r>
              <w:rPr>
                <w:rFonts w:hint="eastAsia" w:asciiTheme="minorEastAsia" w:hAnsiTheme="minorEastAsia" w:cstheme="minorEastAsia"/>
                <w:color w:val="000000"/>
                <w:kern w:val="0"/>
                <w:sz w:val="18"/>
                <w:szCs w:val="18"/>
                <w:lang w:val="en-US" w:eastAsia="zh-CN" w:bidi="ar"/>
              </w:rPr>
              <w:t>1</w:t>
            </w:r>
          </w:p>
        </w:tc>
        <w:tc>
          <w:tcPr>
            <w:tcW w:w="684" w:type="pct"/>
            <w:tcBorders>
              <w:top w:val="nil"/>
              <w:left w:val="single" w:color="000000" w:sz="4" w:space="0"/>
              <w:bottom w:val="nil"/>
              <w:right w:val="nil"/>
            </w:tcBorders>
            <w:vAlign w:val="center"/>
          </w:tcPr>
          <w:p w14:paraId="092F8BC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538" w:type="pct"/>
            <w:tcBorders>
              <w:top w:val="nil"/>
              <w:left w:val="single" w:color="000000" w:sz="4" w:space="0"/>
              <w:bottom w:val="nil"/>
              <w:right w:val="nil"/>
            </w:tcBorders>
            <w:vAlign w:val="center"/>
          </w:tcPr>
          <w:p w14:paraId="0858D8F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c>
          <w:tcPr>
            <w:tcW w:w="742" w:type="pct"/>
            <w:tcBorders>
              <w:top w:val="nil"/>
              <w:left w:val="single" w:color="000000" w:sz="4" w:space="0"/>
              <w:bottom w:val="nil"/>
              <w:right w:val="nil"/>
            </w:tcBorders>
            <w:vAlign w:val="center"/>
          </w:tcPr>
          <w:p w14:paraId="54AF32C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w:t>
            </w:r>
          </w:p>
        </w:tc>
        <w:tc>
          <w:tcPr>
            <w:tcW w:w="474" w:type="pct"/>
            <w:tcBorders>
              <w:top w:val="nil"/>
              <w:left w:val="single" w:color="000000" w:sz="4" w:space="0"/>
              <w:bottom w:val="nil"/>
              <w:right w:val="nil"/>
            </w:tcBorders>
            <w:vAlign w:val="center"/>
          </w:tcPr>
          <w:p w14:paraId="6415BFB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w:t>
            </w:r>
          </w:p>
        </w:tc>
        <w:tc>
          <w:tcPr>
            <w:tcW w:w="596" w:type="pct"/>
            <w:tcBorders>
              <w:top w:val="nil"/>
              <w:left w:val="single" w:color="000000" w:sz="4" w:space="0"/>
              <w:bottom w:val="nil"/>
              <w:right w:val="nil"/>
            </w:tcBorders>
            <w:vAlign w:val="center"/>
          </w:tcPr>
          <w:p w14:paraId="42DD4B2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6</w:t>
            </w:r>
          </w:p>
        </w:tc>
        <w:tc>
          <w:tcPr>
            <w:tcW w:w="543" w:type="pct"/>
            <w:tcBorders>
              <w:top w:val="nil"/>
              <w:left w:val="single" w:color="000000" w:sz="4" w:space="0"/>
              <w:bottom w:val="nil"/>
              <w:right w:val="nil"/>
            </w:tcBorders>
            <w:vAlign w:val="center"/>
          </w:tcPr>
          <w:p w14:paraId="5553C77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w:t>
            </w:r>
          </w:p>
        </w:tc>
        <w:tc>
          <w:tcPr>
            <w:tcW w:w="479" w:type="pct"/>
            <w:tcBorders>
              <w:top w:val="nil"/>
              <w:left w:val="single" w:color="000000" w:sz="4" w:space="0"/>
              <w:bottom w:val="nil"/>
              <w:right w:val="single" w:color="000000" w:sz="4" w:space="0"/>
            </w:tcBorders>
            <w:vAlign w:val="center"/>
          </w:tcPr>
          <w:p w14:paraId="7ADB236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w:t>
            </w:r>
          </w:p>
        </w:tc>
      </w:tr>
      <w:tr w14:paraId="446FC538">
        <w:tblPrEx>
          <w:tblCellMar>
            <w:top w:w="0" w:type="dxa"/>
            <w:left w:w="108" w:type="dxa"/>
            <w:bottom w:w="0" w:type="dxa"/>
            <w:right w:w="108" w:type="dxa"/>
          </w:tblCellMar>
        </w:tblPrEx>
        <w:trPr>
          <w:cantSplit/>
          <w:trHeight w:val="717" w:hRule="atLeast"/>
        </w:trPr>
        <w:tc>
          <w:tcPr>
            <w:tcW w:w="940" w:type="pct"/>
            <w:gridSpan w:val="2"/>
            <w:tcBorders>
              <w:top w:val="single" w:color="000000" w:sz="4" w:space="0"/>
              <w:left w:val="single" w:color="000000" w:sz="4" w:space="0"/>
              <w:bottom w:val="single" w:color="000000" w:sz="4" w:space="0"/>
              <w:right w:val="single" w:color="000000" w:sz="4" w:space="0"/>
            </w:tcBorders>
            <w:vAlign w:val="center"/>
          </w:tcPr>
          <w:p w14:paraId="7E26115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7.00</w:t>
            </w:r>
          </w:p>
        </w:tc>
        <w:tc>
          <w:tcPr>
            <w:tcW w:w="684" w:type="pct"/>
            <w:tcBorders>
              <w:top w:val="single" w:color="000000" w:sz="4" w:space="0"/>
              <w:left w:val="nil"/>
              <w:bottom w:val="single" w:color="000000" w:sz="4" w:space="0"/>
              <w:right w:val="single" w:color="000000" w:sz="4" w:space="0"/>
            </w:tcBorders>
            <w:vAlign w:val="center"/>
          </w:tcPr>
          <w:p w14:paraId="5D6BD07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38" w:type="pct"/>
            <w:tcBorders>
              <w:top w:val="single" w:color="000000" w:sz="4" w:space="0"/>
              <w:left w:val="nil"/>
              <w:bottom w:val="single" w:color="000000" w:sz="4" w:space="0"/>
              <w:right w:val="single" w:color="000000" w:sz="4" w:space="0"/>
            </w:tcBorders>
            <w:noWrap/>
            <w:vAlign w:val="center"/>
          </w:tcPr>
          <w:p w14:paraId="0A3EE37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42" w:type="pct"/>
            <w:tcBorders>
              <w:top w:val="single" w:color="000000" w:sz="4" w:space="0"/>
              <w:left w:val="nil"/>
              <w:bottom w:val="single" w:color="000000" w:sz="4" w:space="0"/>
              <w:right w:val="single" w:color="000000" w:sz="4" w:space="0"/>
            </w:tcBorders>
            <w:vAlign w:val="center"/>
          </w:tcPr>
          <w:p w14:paraId="6565DC8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474" w:type="pct"/>
            <w:tcBorders>
              <w:top w:val="single" w:color="000000" w:sz="4" w:space="0"/>
              <w:left w:val="nil"/>
              <w:bottom w:val="single" w:color="000000" w:sz="4" w:space="0"/>
              <w:right w:val="nil"/>
            </w:tcBorders>
            <w:vAlign w:val="center"/>
          </w:tcPr>
          <w:p w14:paraId="2860B72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7.00</w:t>
            </w:r>
          </w:p>
        </w:tc>
        <w:tc>
          <w:tcPr>
            <w:tcW w:w="596" w:type="pct"/>
            <w:tcBorders>
              <w:top w:val="single" w:color="000000" w:sz="4" w:space="0"/>
              <w:left w:val="single" w:color="000000" w:sz="4" w:space="0"/>
              <w:bottom w:val="single" w:color="000000" w:sz="4" w:space="0"/>
              <w:right w:val="nil"/>
            </w:tcBorders>
            <w:vAlign w:val="center"/>
          </w:tcPr>
          <w:p w14:paraId="42F4D28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43" w:type="pct"/>
            <w:tcBorders>
              <w:top w:val="single" w:color="000000" w:sz="4" w:space="0"/>
              <w:left w:val="single" w:color="000000" w:sz="4" w:space="0"/>
              <w:bottom w:val="single" w:color="000000" w:sz="4" w:space="0"/>
              <w:right w:val="single" w:color="000000" w:sz="4" w:space="0"/>
            </w:tcBorders>
            <w:vAlign w:val="center"/>
          </w:tcPr>
          <w:p w14:paraId="1B79AB6D">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c>
          <w:tcPr>
            <w:tcW w:w="479" w:type="pct"/>
            <w:tcBorders>
              <w:top w:val="single" w:color="000000" w:sz="4" w:space="0"/>
              <w:left w:val="nil"/>
              <w:bottom w:val="single" w:color="000000" w:sz="4" w:space="0"/>
              <w:right w:val="single" w:color="000000" w:sz="4" w:space="0"/>
            </w:tcBorders>
            <w:vAlign w:val="center"/>
          </w:tcPr>
          <w:p w14:paraId="47A52C51">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r>
    </w:tbl>
    <w:p w14:paraId="62EEAEC3">
      <w:pPr>
        <w:widowControl/>
        <w:jc w:val="left"/>
        <w:rPr>
          <w:rStyle w:val="14"/>
          <w:rFonts w:hint="eastAsia" w:ascii="仿宋" w:hAnsi="仿宋" w:eastAsia="仿宋"/>
          <w:bCs/>
          <w:sz w:val="32"/>
          <w:szCs w:val="32"/>
          <w:lang w:eastAsia="zh-CN"/>
        </w:rPr>
        <w:sectPr>
          <w:pgSz w:w="11906" w:h="16838"/>
          <w:pgMar w:top="720" w:right="720" w:bottom="720" w:left="720" w:header="851" w:footer="992" w:gutter="0"/>
          <w:cols w:space="720" w:num="1"/>
          <w:docGrid w:type="lines" w:linePitch="312" w:charSpace="0"/>
        </w:sectPr>
      </w:pPr>
    </w:p>
    <w:tbl>
      <w:tblPr>
        <w:tblStyle w:val="7"/>
        <w:tblW w:w="5002" w:type="pct"/>
        <w:tblInd w:w="10" w:type="dxa"/>
        <w:tblLayout w:type="fixed"/>
        <w:tblCellMar>
          <w:top w:w="0" w:type="dxa"/>
          <w:left w:w="108" w:type="dxa"/>
          <w:bottom w:w="0" w:type="dxa"/>
          <w:right w:w="108" w:type="dxa"/>
        </w:tblCellMar>
      </w:tblPr>
      <w:tblGrid>
        <w:gridCol w:w="2086"/>
        <w:gridCol w:w="2612"/>
        <w:gridCol w:w="2348"/>
        <w:gridCol w:w="1637"/>
        <w:gridCol w:w="2002"/>
      </w:tblGrid>
      <w:tr w14:paraId="5CE99B38">
        <w:tblPrEx>
          <w:tblCellMar>
            <w:top w:w="0" w:type="dxa"/>
            <w:left w:w="108" w:type="dxa"/>
            <w:bottom w:w="0" w:type="dxa"/>
            <w:right w:w="108" w:type="dxa"/>
          </w:tblCellMar>
        </w:tblPrEx>
        <w:trPr>
          <w:trHeight w:val="507" w:hRule="atLeast"/>
          <w:tblHeader/>
        </w:trPr>
        <w:tc>
          <w:tcPr>
            <w:tcW w:w="976" w:type="pct"/>
            <w:noWrap/>
            <w:vAlign w:val="bottom"/>
          </w:tcPr>
          <w:p w14:paraId="2F851FC6">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1221" w:type="pct"/>
            <w:noWrap/>
            <w:vAlign w:val="bottom"/>
          </w:tcPr>
          <w:p w14:paraId="65C9AB11">
            <w:pPr>
              <w:widowControl/>
              <w:jc w:val="left"/>
              <w:rPr>
                <w:rFonts w:ascii="Times New Roman" w:hAnsi="Times New Roman" w:eastAsia="宋体"/>
                <w:kern w:val="0"/>
                <w:sz w:val="20"/>
                <w:szCs w:val="20"/>
              </w:rPr>
            </w:pPr>
          </w:p>
        </w:tc>
        <w:tc>
          <w:tcPr>
            <w:tcW w:w="2801" w:type="pct"/>
            <w:gridSpan w:val="3"/>
            <w:noWrap/>
            <w:vAlign w:val="center"/>
          </w:tcPr>
          <w:p w14:paraId="1F879C64">
            <w:pPr>
              <w:widowControl/>
              <w:snapToGrid w:val="0"/>
              <w:jc w:val="righ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eastAsia="zh-CN" w:bidi="ar"/>
              </w:rPr>
              <w:t>注：若为空表，则为该部门（单位）无政府性基金支出</w:t>
            </w:r>
          </w:p>
        </w:tc>
      </w:tr>
      <w:tr w14:paraId="7FF6FE67">
        <w:tblPrEx>
          <w:tblCellMar>
            <w:top w:w="0" w:type="dxa"/>
            <w:left w:w="108" w:type="dxa"/>
            <w:bottom w:w="0" w:type="dxa"/>
            <w:right w:w="108" w:type="dxa"/>
          </w:tblCellMar>
        </w:tblPrEx>
        <w:trPr>
          <w:trHeight w:val="564" w:hRule="atLeast"/>
          <w:tblHeader/>
        </w:trPr>
        <w:tc>
          <w:tcPr>
            <w:tcW w:w="5000" w:type="pct"/>
            <w:gridSpan w:val="5"/>
            <w:noWrap/>
            <w:vAlign w:val="center"/>
          </w:tcPr>
          <w:p w14:paraId="69F55D3B">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政府性基金预算支出表</w:t>
            </w:r>
          </w:p>
        </w:tc>
      </w:tr>
      <w:tr w14:paraId="3C94FCAE">
        <w:tblPrEx>
          <w:tblCellMar>
            <w:top w:w="0" w:type="dxa"/>
            <w:left w:w="108" w:type="dxa"/>
            <w:bottom w:w="0" w:type="dxa"/>
            <w:right w:w="108" w:type="dxa"/>
          </w:tblCellMar>
        </w:tblPrEx>
        <w:trPr>
          <w:trHeight w:val="405" w:hRule="atLeast"/>
          <w:tblHeader/>
        </w:trPr>
        <w:tc>
          <w:tcPr>
            <w:tcW w:w="2198" w:type="pct"/>
            <w:gridSpan w:val="2"/>
            <w:noWrap/>
            <w:vAlign w:val="center"/>
          </w:tcPr>
          <w:p w14:paraId="37439A4E">
            <w:pPr>
              <w:widowControl/>
              <w:jc w:val="both"/>
              <w:rPr>
                <w:rFonts w:hint="eastAsia" w:ascii="宋体" w:hAnsi="宋体" w:eastAsia="宋体" w:cs="Arial"/>
                <w:color w:val="000000"/>
                <w:kern w:val="0"/>
                <w:sz w:val="24"/>
                <w:szCs w:val="24"/>
                <w:lang w:eastAsia="zh-CN"/>
              </w:rPr>
            </w:pPr>
            <w:r>
              <w:rPr>
                <w:rFonts w:hint="eastAsia" w:asciiTheme="minorEastAsia" w:hAnsiTheme="minorEastAsia" w:cstheme="minorEastAsia"/>
                <w:color w:val="000000"/>
                <w:kern w:val="0"/>
                <w:sz w:val="18"/>
                <w:szCs w:val="18"/>
                <w:lang w:bidi="ar"/>
              </w:rPr>
              <w:t>填报单位:318新余市渝水区财政局（部门）</w:t>
            </w:r>
          </w:p>
        </w:tc>
        <w:tc>
          <w:tcPr>
            <w:tcW w:w="1099" w:type="pct"/>
            <w:noWrap/>
            <w:vAlign w:val="bottom"/>
          </w:tcPr>
          <w:p w14:paraId="3F7E1B31">
            <w:pPr>
              <w:rPr>
                <w:rFonts w:hint="eastAsia" w:ascii="宋体" w:hAnsi="宋体" w:eastAsia="宋体" w:cs="Arial"/>
                <w:color w:val="000000"/>
                <w:kern w:val="0"/>
                <w:sz w:val="24"/>
                <w:szCs w:val="24"/>
              </w:rPr>
            </w:pPr>
          </w:p>
        </w:tc>
        <w:tc>
          <w:tcPr>
            <w:tcW w:w="766" w:type="pct"/>
            <w:noWrap/>
            <w:vAlign w:val="bottom"/>
          </w:tcPr>
          <w:p w14:paraId="3A3AAC6B">
            <w:pPr>
              <w:widowControl/>
              <w:jc w:val="left"/>
              <w:rPr>
                <w:rFonts w:ascii="Times New Roman" w:hAnsi="Times New Roman" w:eastAsia="宋体"/>
                <w:kern w:val="0"/>
                <w:sz w:val="20"/>
                <w:szCs w:val="20"/>
              </w:rPr>
            </w:pPr>
          </w:p>
        </w:tc>
        <w:tc>
          <w:tcPr>
            <w:tcW w:w="935" w:type="pct"/>
            <w:noWrap/>
            <w:vAlign w:val="center"/>
          </w:tcPr>
          <w:p w14:paraId="6EB6251E">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166BC2BC">
        <w:tblPrEx>
          <w:tblCellMar>
            <w:top w:w="0" w:type="dxa"/>
            <w:left w:w="108" w:type="dxa"/>
            <w:bottom w:w="0" w:type="dxa"/>
            <w:right w:w="108" w:type="dxa"/>
          </w:tblCellMar>
        </w:tblPrEx>
        <w:trPr>
          <w:cantSplit/>
          <w:trHeight w:val="283" w:hRule="atLeast"/>
          <w:tblHeader/>
        </w:trPr>
        <w:tc>
          <w:tcPr>
            <w:tcW w:w="2198" w:type="pct"/>
            <w:gridSpan w:val="2"/>
            <w:tcBorders>
              <w:top w:val="single" w:color="000000" w:sz="4" w:space="0"/>
              <w:left w:val="single" w:color="000000" w:sz="4" w:space="0"/>
              <w:bottom w:val="single" w:color="000000" w:sz="4" w:space="0"/>
              <w:right w:val="single" w:color="000000" w:sz="4" w:space="0"/>
            </w:tcBorders>
            <w:noWrap/>
            <w:vAlign w:val="center"/>
          </w:tcPr>
          <w:p w14:paraId="795472F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1" w:type="pct"/>
            <w:gridSpan w:val="3"/>
            <w:tcBorders>
              <w:top w:val="single" w:color="000000" w:sz="4" w:space="0"/>
              <w:left w:val="nil"/>
              <w:bottom w:val="single" w:color="000000" w:sz="4" w:space="0"/>
              <w:right w:val="single" w:color="000000" w:sz="4" w:space="0"/>
            </w:tcBorders>
            <w:noWrap/>
            <w:vAlign w:val="center"/>
          </w:tcPr>
          <w:p w14:paraId="013B911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1D1AA209">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5BF8488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21" w:type="pct"/>
            <w:tcBorders>
              <w:top w:val="nil"/>
              <w:left w:val="nil"/>
              <w:bottom w:val="single" w:color="000000" w:sz="4" w:space="0"/>
              <w:right w:val="single" w:color="000000" w:sz="4" w:space="0"/>
            </w:tcBorders>
            <w:noWrap/>
            <w:vAlign w:val="center"/>
          </w:tcPr>
          <w:p w14:paraId="5D7B869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99" w:type="pct"/>
            <w:tcBorders>
              <w:top w:val="nil"/>
              <w:left w:val="nil"/>
              <w:bottom w:val="single" w:color="000000" w:sz="4" w:space="0"/>
              <w:right w:val="single" w:color="000000" w:sz="4" w:space="0"/>
            </w:tcBorders>
            <w:noWrap/>
            <w:vAlign w:val="center"/>
          </w:tcPr>
          <w:p w14:paraId="706D283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6" w:type="pct"/>
            <w:tcBorders>
              <w:top w:val="nil"/>
              <w:left w:val="nil"/>
              <w:bottom w:val="single" w:color="000000" w:sz="4" w:space="0"/>
              <w:right w:val="single" w:color="000000" w:sz="4" w:space="0"/>
            </w:tcBorders>
            <w:noWrap/>
            <w:vAlign w:val="center"/>
          </w:tcPr>
          <w:p w14:paraId="2A62484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35" w:type="pct"/>
            <w:tcBorders>
              <w:top w:val="nil"/>
              <w:left w:val="nil"/>
              <w:bottom w:val="single" w:color="000000" w:sz="4" w:space="0"/>
              <w:right w:val="single" w:color="000000" w:sz="4" w:space="0"/>
            </w:tcBorders>
            <w:noWrap/>
            <w:vAlign w:val="center"/>
          </w:tcPr>
          <w:p w14:paraId="0760D79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68DC3BDC">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1444246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21" w:type="pct"/>
            <w:tcBorders>
              <w:top w:val="nil"/>
              <w:left w:val="nil"/>
              <w:bottom w:val="single" w:color="000000" w:sz="4" w:space="0"/>
              <w:right w:val="single" w:color="000000" w:sz="4" w:space="0"/>
            </w:tcBorders>
            <w:noWrap/>
            <w:vAlign w:val="center"/>
          </w:tcPr>
          <w:p w14:paraId="13220C4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99" w:type="pct"/>
            <w:tcBorders>
              <w:top w:val="nil"/>
              <w:left w:val="nil"/>
              <w:bottom w:val="single" w:color="000000" w:sz="4" w:space="0"/>
              <w:right w:val="single" w:color="000000" w:sz="4" w:space="0"/>
            </w:tcBorders>
            <w:noWrap/>
            <w:vAlign w:val="center"/>
          </w:tcPr>
          <w:p w14:paraId="59FD47A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6" w:type="pct"/>
            <w:tcBorders>
              <w:top w:val="nil"/>
              <w:left w:val="nil"/>
              <w:bottom w:val="single" w:color="000000" w:sz="4" w:space="0"/>
              <w:right w:val="single" w:color="000000" w:sz="4" w:space="0"/>
            </w:tcBorders>
            <w:noWrap/>
            <w:vAlign w:val="center"/>
          </w:tcPr>
          <w:p w14:paraId="37173B96">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35" w:type="pct"/>
            <w:tcBorders>
              <w:top w:val="nil"/>
              <w:left w:val="nil"/>
              <w:bottom w:val="single" w:color="000000" w:sz="4" w:space="0"/>
              <w:right w:val="single" w:color="000000" w:sz="4" w:space="0"/>
            </w:tcBorders>
            <w:noWrap/>
            <w:vAlign w:val="center"/>
          </w:tcPr>
          <w:p w14:paraId="7734EF10">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594F8D1A">
      <w:pPr>
        <w:jc w:val="left"/>
        <w:rPr>
          <w:rStyle w:val="14"/>
          <w:rFonts w:hint="eastAsia" w:ascii="仿宋" w:hAnsi="仿宋" w:eastAsia="仿宋"/>
          <w:bCs/>
          <w:sz w:val="32"/>
          <w:szCs w:val="32"/>
        </w:rPr>
      </w:pPr>
      <w:r>
        <w:rPr>
          <w:rStyle w:val="14"/>
          <w:rFonts w:hint="eastAsia" w:ascii="仿宋" w:hAnsi="仿宋" w:eastAsia="仿宋"/>
          <w:bCs/>
          <w:sz w:val="32"/>
          <w:szCs w:val="32"/>
        </w:rPr>
        <w:br w:type="page"/>
      </w:r>
    </w:p>
    <w:tbl>
      <w:tblPr>
        <w:tblStyle w:val="7"/>
        <w:tblW w:w="5026" w:type="pct"/>
        <w:tblInd w:w="10" w:type="dxa"/>
        <w:tblLayout w:type="fixed"/>
        <w:tblCellMar>
          <w:top w:w="0" w:type="dxa"/>
          <w:left w:w="108" w:type="dxa"/>
          <w:bottom w:w="0" w:type="dxa"/>
          <w:right w:w="108" w:type="dxa"/>
        </w:tblCellMar>
      </w:tblPr>
      <w:tblGrid>
        <w:gridCol w:w="2063"/>
        <w:gridCol w:w="2650"/>
        <w:gridCol w:w="2336"/>
        <w:gridCol w:w="1636"/>
        <w:gridCol w:w="2053"/>
      </w:tblGrid>
      <w:tr w14:paraId="7C560BBA">
        <w:tblPrEx>
          <w:tblCellMar>
            <w:top w:w="0" w:type="dxa"/>
            <w:left w:w="108" w:type="dxa"/>
            <w:bottom w:w="0" w:type="dxa"/>
            <w:right w:w="108" w:type="dxa"/>
          </w:tblCellMar>
        </w:tblPrEx>
        <w:trPr>
          <w:trHeight w:val="619" w:hRule="atLeast"/>
          <w:tblHeader/>
        </w:trPr>
        <w:tc>
          <w:tcPr>
            <w:tcW w:w="960" w:type="pct"/>
            <w:noWrap/>
            <w:vAlign w:val="bottom"/>
          </w:tcPr>
          <w:p w14:paraId="218B681D">
            <w:pPr>
              <w:rPr>
                <w:rStyle w:val="14"/>
                <w:rFonts w:hint="eastAsia" w:ascii="仿宋" w:hAnsi="仿宋" w:eastAsia="仿宋"/>
                <w:bCs/>
                <w:sz w:val="32"/>
                <w:szCs w:val="32"/>
              </w:rPr>
            </w:pPr>
          </w:p>
        </w:tc>
        <w:tc>
          <w:tcPr>
            <w:tcW w:w="1233" w:type="pct"/>
            <w:noWrap/>
            <w:vAlign w:val="bottom"/>
          </w:tcPr>
          <w:p w14:paraId="488BA418">
            <w:pPr>
              <w:widowControl/>
              <w:jc w:val="left"/>
              <w:rPr>
                <w:rFonts w:ascii="Times New Roman" w:hAnsi="Times New Roman" w:eastAsia="宋体"/>
                <w:kern w:val="0"/>
                <w:sz w:val="20"/>
                <w:szCs w:val="20"/>
              </w:rPr>
            </w:pPr>
          </w:p>
        </w:tc>
        <w:tc>
          <w:tcPr>
            <w:tcW w:w="2805" w:type="pct"/>
            <w:gridSpan w:val="3"/>
            <w:noWrap/>
            <w:vAlign w:val="center"/>
          </w:tcPr>
          <w:p w14:paraId="50613F68">
            <w:pPr>
              <w:widowControl/>
              <w:jc w:val="right"/>
              <w:rPr>
                <w:rFonts w:ascii="宋体" w:hAnsi="宋体" w:eastAsia="宋体" w:cs="Arial"/>
                <w:color w:val="000000"/>
                <w:kern w:val="0"/>
                <w:sz w:val="24"/>
                <w:szCs w:val="24"/>
              </w:rPr>
            </w:pPr>
            <w:r>
              <w:rPr>
                <w:rFonts w:hint="eastAsia" w:ascii="宋体" w:hAnsi="宋体" w:eastAsia="宋体" w:cs="Arial"/>
                <w:color w:val="000000"/>
                <w:kern w:val="0"/>
                <w:sz w:val="18"/>
                <w:szCs w:val="18"/>
              </w:rPr>
              <w:t>注：若为空表，则为该部门（单位）无国有资本经营预算支出</w:t>
            </w:r>
          </w:p>
        </w:tc>
      </w:tr>
      <w:tr w14:paraId="3AA52916">
        <w:tblPrEx>
          <w:tblCellMar>
            <w:top w:w="0" w:type="dxa"/>
            <w:left w:w="108" w:type="dxa"/>
            <w:bottom w:w="0" w:type="dxa"/>
            <w:right w:w="108" w:type="dxa"/>
          </w:tblCellMar>
        </w:tblPrEx>
        <w:trPr>
          <w:trHeight w:val="613" w:hRule="atLeast"/>
          <w:tblHeader/>
        </w:trPr>
        <w:tc>
          <w:tcPr>
            <w:tcW w:w="5000" w:type="pct"/>
            <w:gridSpan w:val="5"/>
            <w:noWrap/>
            <w:vAlign w:val="center"/>
          </w:tcPr>
          <w:p w14:paraId="7E2650A9">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国有资本经营预算支出表</w:t>
            </w:r>
          </w:p>
        </w:tc>
      </w:tr>
      <w:tr w14:paraId="6B899F8B">
        <w:tblPrEx>
          <w:tblCellMar>
            <w:top w:w="0" w:type="dxa"/>
            <w:left w:w="108" w:type="dxa"/>
            <w:bottom w:w="0" w:type="dxa"/>
            <w:right w:w="108" w:type="dxa"/>
          </w:tblCellMar>
        </w:tblPrEx>
        <w:trPr>
          <w:trHeight w:val="413" w:hRule="atLeast"/>
          <w:tblHeader/>
        </w:trPr>
        <w:tc>
          <w:tcPr>
            <w:tcW w:w="3282" w:type="pct"/>
            <w:gridSpan w:val="3"/>
            <w:noWrap/>
            <w:vAlign w:val="center"/>
          </w:tcPr>
          <w:p w14:paraId="4E80ABCF">
            <w:pPr>
              <w:jc w:val="left"/>
              <w:rPr>
                <w:rFonts w:hint="eastAsia"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填报单位:318新余市渝水区财政局（部门）</w:t>
            </w:r>
          </w:p>
        </w:tc>
        <w:tc>
          <w:tcPr>
            <w:tcW w:w="762" w:type="pct"/>
            <w:noWrap/>
            <w:vAlign w:val="bottom"/>
          </w:tcPr>
          <w:p w14:paraId="6A808739">
            <w:pPr>
              <w:widowControl/>
              <w:jc w:val="left"/>
              <w:rPr>
                <w:rFonts w:ascii="Times New Roman" w:hAnsi="Times New Roman" w:eastAsia="宋体"/>
                <w:kern w:val="0"/>
                <w:sz w:val="20"/>
                <w:szCs w:val="20"/>
              </w:rPr>
            </w:pPr>
          </w:p>
        </w:tc>
        <w:tc>
          <w:tcPr>
            <w:tcW w:w="954" w:type="pct"/>
            <w:noWrap/>
            <w:vAlign w:val="center"/>
          </w:tcPr>
          <w:p w14:paraId="16636292">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5B5A61C5">
        <w:tblPrEx>
          <w:tblCellMar>
            <w:top w:w="0" w:type="dxa"/>
            <w:left w:w="108" w:type="dxa"/>
            <w:bottom w:w="0" w:type="dxa"/>
            <w:right w:w="108" w:type="dxa"/>
          </w:tblCellMar>
        </w:tblPrEx>
        <w:trPr>
          <w:cantSplit/>
          <w:trHeight w:val="291" w:hRule="atLeast"/>
          <w:tblHeader/>
        </w:trPr>
        <w:tc>
          <w:tcPr>
            <w:tcW w:w="2194" w:type="pct"/>
            <w:gridSpan w:val="2"/>
            <w:tcBorders>
              <w:top w:val="single" w:color="000000" w:sz="4" w:space="0"/>
              <w:left w:val="single" w:color="000000" w:sz="4" w:space="0"/>
              <w:bottom w:val="single" w:color="000000" w:sz="4" w:space="0"/>
              <w:right w:val="single" w:color="000000" w:sz="4" w:space="0"/>
            </w:tcBorders>
            <w:noWrap/>
            <w:vAlign w:val="center"/>
          </w:tcPr>
          <w:p w14:paraId="570D9CD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5" w:type="pct"/>
            <w:gridSpan w:val="3"/>
            <w:tcBorders>
              <w:top w:val="single" w:color="000000" w:sz="4" w:space="0"/>
              <w:left w:val="nil"/>
              <w:bottom w:val="single" w:color="000000" w:sz="4" w:space="0"/>
              <w:right w:val="single" w:color="000000" w:sz="4" w:space="0"/>
            </w:tcBorders>
            <w:noWrap/>
            <w:vAlign w:val="center"/>
          </w:tcPr>
          <w:p w14:paraId="23CC8A8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761C1332">
        <w:tblPrEx>
          <w:tblCellMar>
            <w:top w:w="0" w:type="dxa"/>
            <w:left w:w="108" w:type="dxa"/>
            <w:bottom w:w="0" w:type="dxa"/>
            <w:right w:w="108" w:type="dxa"/>
          </w:tblCellMar>
        </w:tblPrEx>
        <w:trPr>
          <w:cantSplit/>
          <w:trHeight w:val="291" w:hRule="atLeast"/>
          <w:tblHeader/>
        </w:trPr>
        <w:tc>
          <w:tcPr>
            <w:tcW w:w="960" w:type="pct"/>
            <w:tcBorders>
              <w:top w:val="nil"/>
              <w:left w:val="single" w:color="000000" w:sz="4" w:space="0"/>
              <w:bottom w:val="single" w:color="000000" w:sz="4" w:space="0"/>
              <w:right w:val="single" w:color="000000" w:sz="4" w:space="0"/>
            </w:tcBorders>
            <w:noWrap/>
            <w:vAlign w:val="center"/>
          </w:tcPr>
          <w:p w14:paraId="41DF65B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33" w:type="pct"/>
            <w:tcBorders>
              <w:top w:val="nil"/>
              <w:left w:val="nil"/>
              <w:bottom w:val="single" w:color="000000" w:sz="4" w:space="0"/>
              <w:right w:val="single" w:color="000000" w:sz="4" w:space="0"/>
            </w:tcBorders>
            <w:noWrap/>
            <w:vAlign w:val="center"/>
          </w:tcPr>
          <w:p w14:paraId="3027D9C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88" w:type="pct"/>
            <w:tcBorders>
              <w:top w:val="nil"/>
              <w:left w:val="nil"/>
              <w:bottom w:val="single" w:color="000000" w:sz="4" w:space="0"/>
              <w:right w:val="single" w:color="000000" w:sz="4" w:space="0"/>
            </w:tcBorders>
            <w:noWrap/>
            <w:vAlign w:val="center"/>
          </w:tcPr>
          <w:p w14:paraId="056D96B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2" w:type="pct"/>
            <w:tcBorders>
              <w:top w:val="nil"/>
              <w:left w:val="nil"/>
              <w:bottom w:val="single" w:color="000000" w:sz="4" w:space="0"/>
              <w:right w:val="single" w:color="000000" w:sz="4" w:space="0"/>
            </w:tcBorders>
            <w:noWrap/>
            <w:vAlign w:val="center"/>
          </w:tcPr>
          <w:p w14:paraId="4E9CC86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54" w:type="pct"/>
            <w:tcBorders>
              <w:top w:val="nil"/>
              <w:left w:val="nil"/>
              <w:bottom w:val="single" w:color="000000" w:sz="4" w:space="0"/>
              <w:right w:val="single" w:color="000000" w:sz="4" w:space="0"/>
            </w:tcBorders>
            <w:noWrap/>
            <w:vAlign w:val="center"/>
          </w:tcPr>
          <w:p w14:paraId="6358903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4C52C626">
        <w:tblPrEx>
          <w:tblCellMar>
            <w:top w:w="0" w:type="dxa"/>
            <w:left w:w="108" w:type="dxa"/>
            <w:bottom w:w="0" w:type="dxa"/>
            <w:right w:w="108" w:type="dxa"/>
          </w:tblCellMar>
        </w:tblPrEx>
        <w:trPr>
          <w:cantSplit/>
          <w:trHeight w:val="291" w:hRule="atLeast"/>
          <w:tblHeader/>
        </w:trPr>
        <w:tc>
          <w:tcPr>
            <w:tcW w:w="960" w:type="pct"/>
            <w:tcBorders>
              <w:top w:val="single" w:color="000000" w:sz="4" w:space="0"/>
              <w:left w:val="single" w:color="000000" w:sz="4" w:space="0"/>
              <w:bottom w:val="single" w:color="000000" w:sz="4" w:space="0"/>
              <w:right w:val="single" w:color="000000" w:sz="4" w:space="0"/>
            </w:tcBorders>
            <w:noWrap/>
            <w:vAlign w:val="center"/>
          </w:tcPr>
          <w:p w14:paraId="4D3ABB0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33" w:type="pct"/>
            <w:tcBorders>
              <w:top w:val="single" w:color="000000" w:sz="4" w:space="0"/>
              <w:left w:val="single" w:color="000000" w:sz="4" w:space="0"/>
              <w:bottom w:val="single" w:color="000000" w:sz="4" w:space="0"/>
              <w:right w:val="single" w:color="000000" w:sz="4" w:space="0"/>
            </w:tcBorders>
            <w:noWrap/>
            <w:vAlign w:val="center"/>
          </w:tcPr>
          <w:p w14:paraId="2183CD7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88" w:type="pct"/>
            <w:tcBorders>
              <w:top w:val="single" w:color="000000" w:sz="4" w:space="0"/>
              <w:left w:val="single" w:color="000000" w:sz="4" w:space="0"/>
              <w:bottom w:val="single" w:color="000000" w:sz="4" w:space="0"/>
              <w:right w:val="single" w:color="000000" w:sz="4" w:space="0"/>
            </w:tcBorders>
            <w:noWrap/>
            <w:vAlign w:val="center"/>
          </w:tcPr>
          <w:p w14:paraId="3C2949E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2" w:type="pct"/>
            <w:tcBorders>
              <w:top w:val="single" w:color="000000" w:sz="4" w:space="0"/>
              <w:left w:val="single" w:color="000000" w:sz="4" w:space="0"/>
              <w:bottom w:val="single" w:color="000000" w:sz="4" w:space="0"/>
              <w:right w:val="single" w:color="000000" w:sz="4" w:space="0"/>
            </w:tcBorders>
            <w:noWrap/>
            <w:vAlign w:val="center"/>
          </w:tcPr>
          <w:p w14:paraId="65792643">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270F5984">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53523597">
      <w:pPr>
        <w:jc w:val="left"/>
        <w:rPr>
          <w:rStyle w:val="14"/>
          <w:rFonts w:hint="eastAsia" w:ascii="仿宋" w:hAnsi="仿宋" w:eastAsia="仿宋"/>
          <w:bCs/>
          <w:sz w:val="32"/>
          <w:szCs w:val="32"/>
        </w:rPr>
      </w:pPr>
      <w:r>
        <w:rPr>
          <w:rStyle w:val="14"/>
          <w:rFonts w:hint="eastAsia" w:ascii="仿宋" w:hAnsi="仿宋" w:eastAsia="仿宋"/>
          <w:bCs/>
          <w:sz w:val="32"/>
          <w:szCs w:val="32"/>
        </w:rPr>
        <w:br w:type="page"/>
      </w:r>
    </w:p>
    <w:tbl>
      <w:tblPr>
        <w:tblStyle w:val="7"/>
        <w:tblW w:w="10825" w:type="dxa"/>
        <w:tblInd w:w="-7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12"/>
        <w:gridCol w:w="1313"/>
        <w:gridCol w:w="2825"/>
        <w:gridCol w:w="1500"/>
        <w:gridCol w:w="912"/>
        <w:gridCol w:w="338"/>
        <w:gridCol w:w="1412"/>
        <w:gridCol w:w="1013"/>
      </w:tblGrid>
      <w:tr w14:paraId="720B7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exact"/>
        </w:trPr>
        <w:tc>
          <w:tcPr>
            <w:tcW w:w="10825" w:type="dxa"/>
            <w:gridSpan w:val="8"/>
            <w:tcBorders>
              <w:top w:val="nil"/>
              <w:left w:val="nil"/>
              <w:bottom w:val="single" w:color="000000" w:sz="4" w:space="0"/>
              <w:right w:val="nil"/>
            </w:tcBorders>
            <w:shd w:val="clear" w:color="auto" w:fill="FFFFFF"/>
            <w:noWrap/>
            <w:vAlign w:val="center"/>
          </w:tcPr>
          <w:p w14:paraId="4EE7A84F">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i w:val="0"/>
                <w:iCs w:val="0"/>
                <w:color w:val="000000"/>
                <w:kern w:val="0"/>
                <w:sz w:val="24"/>
                <w:szCs w:val="24"/>
                <w:u w:val="none"/>
                <w:lang w:val="en-US" w:eastAsia="zh-CN" w:bidi="ar"/>
              </w:rPr>
            </w:pPr>
            <w:r>
              <w:rPr>
                <w:rFonts w:hint="eastAsia" w:asciiTheme="minorEastAsia" w:hAnsiTheme="minorEastAsia" w:eastAsiaTheme="minorEastAsia" w:cstheme="minorEastAsia"/>
                <w:b/>
                <w:bCs w:val="0"/>
                <w:i w:val="0"/>
                <w:iCs w:val="0"/>
                <w:color w:val="000000"/>
                <w:kern w:val="0"/>
                <w:sz w:val="24"/>
                <w:szCs w:val="24"/>
                <w:u w:val="none"/>
                <w:lang w:val="en-US" w:eastAsia="zh-CN" w:bidi="ar"/>
              </w:rPr>
              <w:t>部门整体绩效目标</w:t>
            </w:r>
          </w:p>
        </w:tc>
      </w:tr>
      <w:tr w14:paraId="05F34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exact"/>
        </w:trPr>
        <w:tc>
          <w:tcPr>
            <w:tcW w:w="2825"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3590EA45">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cstheme="minorEastAsia"/>
                <w:b/>
                <w:bCs w:val="0"/>
                <w:i w:val="0"/>
                <w:iCs w:val="0"/>
                <w:color w:val="000000"/>
                <w:kern w:val="0"/>
                <w:sz w:val="18"/>
                <w:szCs w:val="18"/>
                <w:u w:val="none"/>
                <w:lang w:val="en-US" w:eastAsia="zh-CN" w:bidi="ar"/>
              </w:rPr>
              <w:t>部门编码</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F1E185">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
              <w:t>318</w:t>
            </w: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704F835A">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cstheme="minorEastAsia"/>
                <w:b/>
                <w:bCs w:val="0"/>
                <w:i w:val="0"/>
                <w:iCs w:val="0"/>
                <w:color w:val="000000"/>
                <w:kern w:val="0"/>
                <w:sz w:val="18"/>
                <w:szCs w:val="18"/>
                <w:u w:val="none"/>
                <w:lang w:val="en-US" w:eastAsia="zh-CN" w:bidi="ar"/>
              </w:rPr>
              <w:t>部门名称</w:t>
            </w:r>
          </w:p>
        </w:tc>
        <w:tc>
          <w:tcPr>
            <w:tcW w:w="2763"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AA1C63">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
              <w:t>新余市渝水区财政局（部门）</w:t>
            </w:r>
          </w:p>
        </w:tc>
      </w:tr>
      <w:tr w14:paraId="2A349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exac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41FD133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Style w:val="17"/>
                <w:rFonts w:hint="eastAsia" w:asciiTheme="minorEastAsia" w:hAnsiTheme="minorEastAsia" w:eastAsiaTheme="minorEastAsia" w:cstheme="minorEastAsia"/>
                <w:b/>
                <w:bCs/>
                <w:color w:val="000000"/>
                <w:sz w:val="18"/>
                <w:szCs w:val="18"/>
                <w:lang w:val="en-US" w:eastAsia="zh-CN" w:bidi="ar"/>
              </w:rPr>
              <w:t>年度绩效总目标</w:t>
            </w:r>
          </w:p>
        </w:tc>
        <w:tc>
          <w:tcPr>
            <w:tcW w:w="9313" w:type="dxa"/>
            <w:gridSpan w:val="7"/>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5533B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全区财政工作坚持以习近平新时代中国特色社会主义思想为指导，深入贯彻党的二十大精神和中央、省、市财政工作会议精神，坚定贯彻区委、区政府的决策部署，紧紧围绕全年工作目标，加快建成全方位、全过程、全覆盖的预算绩效管理体系， 积极践行过“紧日子”思想， 发挥财政资金使用效益， 按照“谁支出、谁负责”的原则按照国家相关法律法规， 收入、支出全部纳入本单位财务部门统一核算，严格遵循先有预算、后有支出的原则，确保预算编制完整， 执行经费预算和资产配置标准严格。 预计全年的绩效目标任务都能够按期完成</w:t>
            </w:r>
          </w:p>
        </w:tc>
      </w:tr>
      <w:tr w14:paraId="3F3B2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7DF11A60">
            <w:pPr>
              <w:jc w:val="center"/>
              <w:rPr>
                <w:rFonts w:hint="eastAsia" w:asciiTheme="minorEastAsia" w:hAnsiTheme="minorEastAsia" w:eastAsiaTheme="minorEastAsia" w:cstheme="minorEastAsia"/>
                <w:b w:val="0"/>
                <w:i w:val="0"/>
                <w:iCs w:val="0"/>
                <w:color w:val="000000"/>
                <w:sz w:val="18"/>
                <w:szCs w:val="18"/>
                <w:u w:val="none"/>
              </w:rPr>
            </w:pPr>
          </w:p>
        </w:tc>
        <w:tc>
          <w:tcPr>
            <w:tcW w:w="9313"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F12822">
            <w:pPr>
              <w:jc w:val="center"/>
              <w:rPr>
                <w:rFonts w:hint="eastAsia" w:asciiTheme="minorEastAsia" w:hAnsiTheme="minorEastAsia" w:eastAsiaTheme="minorEastAsia" w:cstheme="minorEastAsia"/>
                <w:b w:val="0"/>
                <w:i w:val="0"/>
                <w:iCs w:val="0"/>
                <w:color w:val="000000"/>
                <w:sz w:val="18"/>
                <w:szCs w:val="18"/>
                <w:u w:val="none"/>
              </w:rPr>
            </w:pPr>
          </w:p>
        </w:tc>
      </w:tr>
      <w:tr w14:paraId="16983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0B7F3753">
            <w:pPr>
              <w:jc w:val="center"/>
              <w:rPr>
                <w:rFonts w:hint="eastAsia" w:asciiTheme="minorEastAsia" w:hAnsiTheme="minorEastAsia" w:eastAsiaTheme="minorEastAsia" w:cstheme="minorEastAsia"/>
                <w:b w:val="0"/>
                <w:i w:val="0"/>
                <w:iCs w:val="0"/>
                <w:color w:val="000000"/>
                <w:sz w:val="18"/>
                <w:szCs w:val="18"/>
                <w:u w:val="none"/>
              </w:rPr>
            </w:pPr>
          </w:p>
        </w:tc>
        <w:tc>
          <w:tcPr>
            <w:tcW w:w="9313"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56B70A">
            <w:pPr>
              <w:jc w:val="center"/>
              <w:rPr>
                <w:rFonts w:hint="eastAsia" w:asciiTheme="minorEastAsia" w:hAnsiTheme="minorEastAsia" w:eastAsiaTheme="minorEastAsia" w:cstheme="minorEastAsia"/>
                <w:b w:val="0"/>
                <w:i w:val="0"/>
                <w:iCs w:val="0"/>
                <w:color w:val="000000"/>
                <w:sz w:val="18"/>
                <w:szCs w:val="18"/>
                <w:u w:val="none"/>
              </w:rPr>
            </w:pPr>
          </w:p>
        </w:tc>
      </w:tr>
      <w:tr w14:paraId="1C147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512"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20F28D2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一级指标</w:t>
            </w:r>
          </w:p>
        </w:tc>
        <w:tc>
          <w:tcPr>
            <w:tcW w:w="1313"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1117F76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二级指标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3C528A0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三级指标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6688344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计算符号</w:t>
            </w:r>
          </w:p>
        </w:tc>
        <w:tc>
          <w:tcPr>
            <w:tcW w:w="1412"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724706D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目标值</w:t>
            </w:r>
          </w:p>
        </w:tc>
        <w:tc>
          <w:tcPr>
            <w:tcW w:w="1013"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3A89C5E7">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度量单位</w:t>
            </w:r>
          </w:p>
        </w:tc>
      </w:tr>
      <w:tr w14:paraId="0E57B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967DED">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A6601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48C0E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参加财政业务培训人次</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09DFD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238BC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160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5D7CC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人次</w:t>
            </w:r>
          </w:p>
        </w:tc>
      </w:tr>
      <w:tr w14:paraId="6CEC9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42D1C1">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7A7BF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2B1CF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财经纪律重大违纪案件查处数量</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0E572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D106F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A8539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起</w:t>
            </w:r>
          </w:p>
        </w:tc>
      </w:tr>
      <w:tr w14:paraId="55880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29E565">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6089A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BB335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国库业务指导监督次数</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AEC67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F41B2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2</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0A4D1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次</w:t>
            </w:r>
          </w:p>
        </w:tc>
      </w:tr>
      <w:tr w14:paraId="28D55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2A0E82">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AD0D0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A1DA8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开展财政政策法规监督检查次数</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2F858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FC165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2</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29374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次</w:t>
            </w:r>
          </w:p>
        </w:tc>
      </w:tr>
      <w:tr w14:paraId="679F0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EF668E">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E5EAF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0E11B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培训成果应用率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8FA87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703AD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DD10A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5487C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5934F4">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C8F6B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E4642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形成监督检查报告数量</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4E634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C7657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67674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个</w:t>
            </w:r>
          </w:p>
        </w:tc>
      </w:tr>
      <w:tr w14:paraId="181D4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850EAE">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389F5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3B10E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政府采购流程线上办理覆盖率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BA8FC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E1C86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849F8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51969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FCBB1D">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B8DC9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C02D1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开展财政业务培训工作及时率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BA2B3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98A48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A3FB6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41F9E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56FFD4">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D9AC1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A0667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开展财政绩效评价工作及时率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63775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513BF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2CB8A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07DFE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B59F5B">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FB3F2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9176E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召开财政业务培训会议及时率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AE2C2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D1DAA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4348F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0FFAC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51A04F">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EB88D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ADC9E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在职人员控制率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EAB12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9B766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E9191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09D80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5A020F">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DA4BE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896B2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公用经费控制率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9E4F4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0A03D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5215B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6C793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35D3C4">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FB1FB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2C884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三公经费控制率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2FDE4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2E366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9339E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50397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D229EB">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C1F08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3CEF4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预算支出标准执行率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95860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BDF10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22387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38C95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E28F66">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效益指标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7015E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社会效益指标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18D0B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强化财政资金监管</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FB492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定性</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F021F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加强</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4A998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p>
        </w:tc>
      </w:tr>
      <w:tr w14:paraId="2617A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DF76EE">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效益指标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0EC46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社会效益指标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0349D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提高会计人员的业务素质</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88DD9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定性</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1D446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提高</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CA945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p>
        </w:tc>
      </w:tr>
      <w:tr w14:paraId="0008D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F2BF0B">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满意度指标</w:t>
            </w:r>
          </w:p>
        </w:tc>
        <w:tc>
          <w:tcPr>
            <w:tcW w:w="13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2366C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服务对象满意度指标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0D263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受益对象满意度</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53570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84B33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98</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0211B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bl>
    <w:p w14:paraId="06F18F4F">
      <w:pPr>
        <w:rPr>
          <w:rFonts w:hint="eastAsia"/>
          <w:lang w:eastAsia="zh-CN"/>
        </w:rPr>
      </w:pPr>
    </w:p>
    <w:p w14:paraId="380D50C3">
      <w:pPr>
        <w:rPr>
          <w:rFonts w:hint="eastAsia"/>
          <w:lang w:eastAsia="zh-CN"/>
        </w:rPr>
      </w:pPr>
    </w:p>
    <w:p w14:paraId="03CBB1E0">
      <w:pPr>
        <w:rPr>
          <w:rFonts w:hint="eastAsia"/>
          <w:lang w:eastAsia="zh-CN"/>
        </w:rPr>
      </w:pPr>
    </w:p>
    <w:p w14:paraId="6C3A09AA">
      <w:pPr>
        <w:rPr>
          <w:rFonts w:hint="eastAsia"/>
          <w:lang w:eastAsia="zh-CN"/>
        </w:rPr>
      </w:pPr>
    </w:p>
    <w:p w14:paraId="508BAB13">
      <w:pPr>
        <w:rPr>
          <w:rFonts w:hint="eastAsia"/>
          <w:lang w:eastAsia="zh-CN"/>
        </w:rPr>
      </w:pPr>
    </w:p>
    <w:p w14:paraId="7A53CB9A">
      <w:pPr>
        <w:rPr>
          <w:rFonts w:hint="eastAsia"/>
          <w:lang w:eastAsia="zh-CN"/>
        </w:rPr>
      </w:pPr>
    </w:p>
    <w:p w14:paraId="34326BFA">
      <w:pPr>
        <w:rPr>
          <w:rFonts w:hint="eastAsia"/>
          <w:lang w:eastAsia="zh-CN"/>
        </w:rPr>
      </w:pPr>
    </w:p>
    <w:p w14:paraId="00729796">
      <w:pPr>
        <w:rPr>
          <w:rFonts w:hint="eastAsia"/>
          <w:lang w:eastAsia="zh-CN"/>
        </w:rPr>
      </w:pPr>
    </w:p>
    <w:p w14:paraId="1E70F6D0">
      <w:pPr>
        <w:rPr>
          <w:rFonts w:hint="eastAsia"/>
          <w:lang w:eastAsia="zh-CN"/>
        </w:rPr>
      </w:pPr>
    </w:p>
    <w:p w14:paraId="6EDE67F9">
      <w:pPr>
        <w:rPr>
          <w:rFonts w:hint="eastAsia"/>
          <w:lang w:eastAsia="zh-CN"/>
        </w:rPr>
      </w:pPr>
    </w:p>
    <w:p w14:paraId="1BCEBBA6">
      <w:pPr>
        <w:rPr>
          <w:rFonts w:hint="eastAsia"/>
          <w:lang w:eastAsia="zh-CN"/>
        </w:rPr>
      </w:pPr>
    </w:p>
    <w:p w14:paraId="44BBF914">
      <w:pPr>
        <w:rPr>
          <w:rFonts w:hint="eastAsia"/>
          <w:lang w:eastAsia="zh-CN"/>
        </w:rPr>
      </w:pPr>
    </w:p>
    <w:p w14:paraId="70C4665F">
      <w:pPr>
        <w:rPr>
          <w:rFonts w:hint="eastAsia"/>
          <w:lang w:eastAsia="zh-CN"/>
        </w:rPr>
      </w:pPr>
    </w:p>
    <w:p w14:paraId="79A546B6">
      <w:pPr>
        <w:rPr>
          <w:rFonts w:hint="eastAsia"/>
          <w:lang w:eastAsia="zh-CN"/>
        </w:rPr>
      </w:pPr>
    </w:p>
    <w:p w14:paraId="51A0C7B5">
      <w:pPr>
        <w:rPr>
          <w:rFonts w:hint="eastAsia"/>
          <w:lang w:eastAsia="zh-CN"/>
        </w:rPr>
      </w:pPr>
    </w:p>
    <w:tbl>
      <w:tblPr>
        <w:tblW w:w="107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367"/>
        <w:gridCol w:w="1898"/>
        <w:gridCol w:w="1515"/>
        <w:gridCol w:w="2862"/>
        <w:gridCol w:w="936"/>
        <w:gridCol w:w="1176"/>
      </w:tblGrid>
      <w:tr w14:paraId="1B0ED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0" w:hRule="atLeast"/>
        </w:trPr>
        <w:tc>
          <w:tcPr>
            <w:tcW w:w="10754" w:type="dxa"/>
            <w:gridSpan w:val="6"/>
            <w:tcBorders>
              <w:top w:val="nil"/>
              <w:left w:val="single" w:color="000000" w:sz="4" w:space="0"/>
              <w:bottom w:val="nil"/>
              <w:right w:val="nil"/>
            </w:tcBorders>
            <w:shd w:val="clear"/>
            <w:noWrap/>
            <w:vAlign w:val="center"/>
          </w:tcPr>
          <w:p w14:paraId="3E883DC2">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bdr w:val="none" w:color="auto" w:sz="0" w:space="0"/>
                <w:lang w:val="en-US" w:eastAsia="zh-CN" w:bidi="ar"/>
              </w:rPr>
              <w:t>财政系统软件运维费项目绩效目标</w:t>
            </w:r>
          </w:p>
        </w:tc>
      </w:tr>
      <w:tr w14:paraId="56549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gridSpan w:val="6"/>
            <w:tcBorders>
              <w:top w:val="nil"/>
              <w:left w:val="single" w:color="000000" w:sz="4" w:space="0"/>
              <w:bottom w:val="nil"/>
              <w:right w:val="nil"/>
            </w:tcBorders>
            <w:shd w:val="clear"/>
            <w:noWrap/>
            <w:vAlign w:val="center"/>
          </w:tcPr>
          <w:p w14:paraId="4F415F66">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bdr w:val="none" w:color="auto" w:sz="0" w:space="0"/>
                <w:lang w:val="en-US" w:eastAsia="zh-CN" w:bidi="ar"/>
              </w:rPr>
              <w:t>（2026年度）</w:t>
            </w:r>
          </w:p>
        </w:tc>
      </w:tr>
      <w:tr w14:paraId="0A1D0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22BBD1E">
            <w:pPr>
              <w:keepNext w:val="0"/>
              <w:keepLines w:val="0"/>
              <w:widowControl/>
              <w:suppressLineNumbers w:val="0"/>
              <w:jc w:val="left"/>
              <w:textAlignment w:val="center"/>
              <w:rPr>
                <w:rFonts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年度绩效目标</w:t>
            </w:r>
          </w:p>
        </w:tc>
        <w:tc>
          <w:tcPr>
            <w:tcW w:w="8387" w:type="dxa"/>
            <w:gridSpan w:val="5"/>
            <w:tcBorders>
              <w:top w:val="single" w:color="000000" w:sz="4" w:space="0"/>
              <w:left w:val="nil"/>
              <w:bottom w:val="single" w:color="000000" w:sz="4" w:space="0"/>
              <w:right w:val="nil"/>
            </w:tcBorders>
            <w:shd w:val="clear"/>
            <w:vAlign w:val="center"/>
          </w:tcPr>
          <w:p w14:paraId="2F3CD690">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Theme="minorEastAsia" w:hAnsiTheme="minorEastAsia" w:eastAsiaTheme="minorEastAsia" w:cstheme="minorEastAsia"/>
                <w:b w:val="0"/>
                <w:i w:val="0"/>
                <w:iCs w:val="0"/>
                <w:color w:val="000000"/>
                <w:kern w:val="0"/>
                <w:sz w:val="18"/>
                <w:szCs w:val="18"/>
                <w:u w:val="none"/>
                <w:lang w:val="en-US" w:eastAsia="zh-CN" w:bidi="ar"/>
              </w:rPr>
              <w:t>在270万元预算内，高效维护至少6套财政业务系统，实现100％服务对象覆盖与质量合格，确保故障24小时内恢复，响应及时率及系统正常运行率均达100％，使用者满意度超95％。全面保障全区预算单位财务软件升级与运维，确保财政业务顺畅进行</w:t>
            </w:r>
          </w:p>
        </w:tc>
      </w:tr>
      <w:tr w14:paraId="6E4C1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CCFFFF"/>
            <w:noWrap/>
            <w:vAlign w:val="center"/>
          </w:tcPr>
          <w:p w14:paraId="2C2D4E2F">
            <w:pPr>
              <w:keepNext w:val="0"/>
              <w:keepLines w:val="0"/>
              <w:widowControl/>
              <w:suppressLineNumbers w:val="0"/>
              <w:jc w:val="center"/>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分解指标</w:t>
            </w:r>
          </w:p>
        </w:tc>
      </w:tr>
      <w:tr w14:paraId="6ABF5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CCFFFF"/>
            <w:noWrap/>
            <w:vAlign w:val="center"/>
          </w:tcPr>
          <w:p w14:paraId="5FEF2D63">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CCFFFF"/>
            <w:noWrap/>
            <w:vAlign w:val="center"/>
          </w:tcPr>
          <w:p w14:paraId="71DE3F65">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EAA7116">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三级指</w:t>
            </w:r>
            <w:bookmarkStart w:id="0" w:name="_GoBack"/>
            <w:bookmarkEnd w:id="0"/>
            <w:r>
              <w:rPr>
                <w:rFonts w:hint="default" w:ascii="思源黑体" w:hAnsi="思源黑体" w:eastAsia="思源黑体" w:cs="思源黑体"/>
                <w:i w:val="0"/>
                <w:iCs w:val="0"/>
                <w:color w:val="000000"/>
                <w:kern w:val="0"/>
                <w:sz w:val="24"/>
                <w:szCs w:val="24"/>
                <w:u w:val="none"/>
                <w:bdr w:val="none" w:color="auto" w:sz="0" w:space="0"/>
                <w:lang w:val="en-US" w:eastAsia="zh-CN" w:bidi="ar"/>
              </w:rPr>
              <w:t>标</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DA0CCF7">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指标值类型</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98C2250">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0AAF73E">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度量单位</w:t>
            </w:r>
          </w:p>
        </w:tc>
      </w:tr>
      <w:tr w14:paraId="26115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2367" w:type="dxa"/>
            <w:tcBorders>
              <w:top w:val="single" w:color="000000" w:sz="4" w:space="0"/>
              <w:left w:val="single" w:color="000000" w:sz="4" w:space="0"/>
              <w:bottom w:val="single" w:color="000000" w:sz="4" w:space="0"/>
              <w:right w:val="single" w:color="000000" w:sz="4" w:space="0"/>
            </w:tcBorders>
            <w:shd w:val="clear"/>
            <w:vAlign w:val="center"/>
          </w:tcPr>
          <w:p w14:paraId="2460C2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成本指标</w:t>
            </w:r>
          </w:p>
        </w:tc>
        <w:tc>
          <w:tcPr>
            <w:tcW w:w="1898" w:type="dxa"/>
            <w:tcBorders>
              <w:top w:val="single" w:color="000000" w:sz="4" w:space="0"/>
              <w:left w:val="single" w:color="000000" w:sz="4" w:space="0"/>
              <w:bottom w:val="single" w:color="000000" w:sz="4" w:space="0"/>
              <w:right w:val="single" w:color="000000" w:sz="4" w:space="0"/>
            </w:tcBorders>
            <w:shd w:val="clear"/>
            <w:vAlign w:val="center"/>
          </w:tcPr>
          <w:p w14:paraId="251FC9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经济成本指标</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14:paraId="1EAE0E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财政系统软件运维费</w:t>
            </w:r>
          </w:p>
        </w:tc>
        <w:tc>
          <w:tcPr>
            <w:tcW w:w="3022" w:type="dxa"/>
            <w:tcBorders>
              <w:top w:val="single" w:color="000000" w:sz="4" w:space="0"/>
              <w:left w:val="single" w:color="000000" w:sz="4" w:space="0"/>
              <w:bottom w:val="single" w:color="000000" w:sz="4" w:space="0"/>
              <w:right w:val="single" w:color="000000" w:sz="4" w:space="0"/>
            </w:tcBorders>
            <w:shd w:val="clear"/>
            <w:vAlign w:val="center"/>
          </w:tcPr>
          <w:p w14:paraId="09963E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856" w:type="dxa"/>
            <w:tcBorders>
              <w:top w:val="single" w:color="000000" w:sz="4" w:space="0"/>
              <w:left w:val="single" w:color="000000" w:sz="4" w:space="0"/>
              <w:bottom w:val="single" w:color="000000" w:sz="4" w:space="0"/>
              <w:right w:val="single" w:color="000000" w:sz="4" w:space="0"/>
            </w:tcBorders>
            <w:shd w:val="clear"/>
            <w:vAlign w:val="center"/>
          </w:tcPr>
          <w:p w14:paraId="03D37B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270</w:t>
            </w:r>
          </w:p>
        </w:tc>
        <w:tc>
          <w:tcPr>
            <w:tcW w:w="1096" w:type="dxa"/>
            <w:tcBorders>
              <w:top w:val="single" w:color="000000" w:sz="4" w:space="0"/>
              <w:left w:val="single" w:color="000000" w:sz="4" w:space="0"/>
              <w:bottom w:val="single" w:color="000000" w:sz="4" w:space="0"/>
              <w:right w:val="single" w:color="000000" w:sz="4" w:space="0"/>
            </w:tcBorders>
            <w:shd w:val="clear"/>
            <w:vAlign w:val="center"/>
          </w:tcPr>
          <w:p w14:paraId="235A03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万元</w:t>
            </w:r>
          </w:p>
        </w:tc>
      </w:tr>
      <w:tr w14:paraId="0AE50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67" w:type="dxa"/>
            <w:vMerge w:val="restart"/>
            <w:tcBorders>
              <w:top w:val="single" w:color="000000" w:sz="4" w:space="0"/>
              <w:left w:val="single" w:color="000000" w:sz="4" w:space="0"/>
              <w:bottom w:val="single" w:color="000000" w:sz="4" w:space="0"/>
              <w:right w:val="single" w:color="000000" w:sz="4" w:space="0"/>
            </w:tcBorders>
            <w:shd w:val="clear"/>
            <w:vAlign w:val="center"/>
          </w:tcPr>
          <w:p w14:paraId="4A7112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产出指标</w:t>
            </w:r>
          </w:p>
        </w:tc>
        <w:tc>
          <w:tcPr>
            <w:tcW w:w="1898" w:type="dxa"/>
            <w:vMerge w:val="restart"/>
            <w:tcBorders>
              <w:top w:val="single" w:color="000000" w:sz="4" w:space="0"/>
              <w:left w:val="single" w:color="000000" w:sz="4" w:space="0"/>
              <w:bottom w:val="single" w:color="000000" w:sz="4" w:space="0"/>
              <w:right w:val="single" w:color="000000" w:sz="4" w:space="0"/>
            </w:tcBorders>
            <w:shd w:val="clear"/>
            <w:vAlign w:val="center"/>
          </w:tcPr>
          <w:p w14:paraId="23E63D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数量指标</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14:paraId="757E2C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服务对象覆盖率</w:t>
            </w:r>
          </w:p>
        </w:tc>
        <w:tc>
          <w:tcPr>
            <w:tcW w:w="3022" w:type="dxa"/>
            <w:tcBorders>
              <w:top w:val="single" w:color="000000" w:sz="4" w:space="0"/>
              <w:left w:val="single" w:color="000000" w:sz="4" w:space="0"/>
              <w:bottom w:val="single" w:color="000000" w:sz="4" w:space="0"/>
              <w:right w:val="single" w:color="000000" w:sz="4" w:space="0"/>
            </w:tcBorders>
            <w:shd w:val="clear"/>
            <w:vAlign w:val="center"/>
          </w:tcPr>
          <w:p w14:paraId="4C361D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856" w:type="dxa"/>
            <w:tcBorders>
              <w:top w:val="single" w:color="000000" w:sz="4" w:space="0"/>
              <w:left w:val="single" w:color="000000" w:sz="4" w:space="0"/>
              <w:bottom w:val="single" w:color="000000" w:sz="4" w:space="0"/>
              <w:right w:val="single" w:color="000000" w:sz="4" w:space="0"/>
            </w:tcBorders>
            <w:shd w:val="clear"/>
            <w:vAlign w:val="center"/>
          </w:tcPr>
          <w:p w14:paraId="1268F5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100</w:t>
            </w:r>
          </w:p>
        </w:tc>
        <w:tc>
          <w:tcPr>
            <w:tcW w:w="1096" w:type="dxa"/>
            <w:tcBorders>
              <w:top w:val="single" w:color="000000" w:sz="4" w:space="0"/>
              <w:left w:val="single" w:color="000000" w:sz="4" w:space="0"/>
              <w:bottom w:val="single" w:color="000000" w:sz="4" w:space="0"/>
              <w:right w:val="single" w:color="000000" w:sz="4" w:space="0"/>
            </w:tcBorders>
            <w:shd w:val="clear"/>
            <w:vAlign w:val="center"/>
          </w:tcPr>
          <w:p w14:paraId="63B6B2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r>
      <w:tr w14:paraId="264F6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236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420A0E3">
            <w:pPr>
              <w:jc w:val="center"/>
              <w:rPr>
                <w:rFonts w:hint="eastAsia" w:ascii="宋体" w:hAnsi="宋体" w:eastAsia="宋体" w:cs="宋体"/>
                <w:i w:val="0"/>
                <w:iCs w:val="0"/>
                <w:color w:val="000000"/>
                <w:sz w:val="21"/>
                <w:szCs w:val="21"/>
                <w:u w:val="none"/>
              </w:rPr>
            </w:pPr>
          </w:p>
        </w:tc>
        <w:tc>
          <w:tcPr>
            <w:tcW w:w="189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665ED71">
            <w:pPr>
              <w:jc w:val="center"/>
              <w:rPr>
                <w:rFonts w:hint="eastAsia" w:ascii="宋体" w:hAnsi="宋体" w:eastAsia="宋体" w:cs="宋体"/>
                <w:i w:val="0"/>
                <w:iCs w:val="0"/>
                <w:color w:val="000000"/>
                <w:sz w:val="21"/>
                <w:szCs w:val="21"/>
                <w:u w:val="none"/>
              </w:rPr>
            </w:pP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14:paraId="22422A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维护财政业务系统软件数量</w:t>
            </w:r>
          </w:p>
        </w:tc>
        <w:tc>
          <w:tcPr>
            <w:tcW w:w="3022" w:type="dxa"/>
            <w:tcBorders>
              <w:top w:val="single" w:color="000000" w:sz="4" w:space="0"/>
              <w:left w:val="single" w:color="000000" w:sz="4" w:space="0"/>
              <w:bottom w:val="single" w:color="000000" w:sz="4" w:space="0"/>
              <w:right w:val="single" w:color="000000" w:sz="4" w:space="0"/>
            </w:tcBorders>
            <w:shd w:val="clear"/>
            <w:vAlign w:val="center"/>
          </w:tcPr>
          <w:p w14:paraId="51914A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856" w:type="dxa"/>
            <w:tcBorders>
              <w:top w:val="single" w:color="000000" w:sz="4" w:space="0"/>
              <w:left w:val="single" w:color="000000" w:sz="4" w:space="0"/>
              <w:bottom w:val="single" w:color="000000" w:sz="4" w:space="0"/>
              <w:right w:val="single" w:color="000000" w:sz="4" w:space="0"/>
            </w:tcBorders>
            <w:shd w:val="clear"/>
            <w:vAlign w:val="center"/>
          </w:tcPr>
          <w:p w14:paraId="10B2E1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w:t>
            </w:r>
          </w:p>
        </w:tc>
        <w:tc>
          <w:tcPr>
            <w:tcW w:w="1096" w:type="dxa"/>
            <w:tcBorders>
              <w:top w:val="single" w:color="000000" w:sz="4" w:space="0"/>
              <w:left w:val="single" w:color="000000" w:sz="4" w:space="0"/>
              <w:bottom w:val="single" w:color="000000" w:sz="4" w:space="0"/>
              <w:right w:val="single" w:color="000000" w:sz="4" w:space="0"/>
            </w:tcBorders>
            <w:shd w:val="clear"/>
            <w:vAlign w:val="center"/>
          </w:tcPr>
          <w:p w14:paraId="2E6941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w:t>
            </w:r>
          </w:p>
        </w:tc>
      </w:tr>
      <w:tr w14:paraId="3BE0A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6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9AD6266">
            <w:pPr>
              <w:jc w:val="center"/>
              <w:rPr>
                <w:rFonts w:hint="eastAsia" w:ascii="宋体" w:hAnsi="宋体" w:eastAsia="宋体" w:cs="宋体"/>
                <w:i w:val="0"/>
                <w:iCs w:val="0"/>
                <w:color w:val="000000"/>
                <w:sz w:val="21"/>
                <w:szCs w:val="21"/>
                <w:u w:val="none"/>
              </w:rPr>
            </w:pPr>
          </w:p>
        </w:tc>
        <w:tc>
          <w:tcPr>
            <w:tcW w:w="1898" w:type="dxa"/>
            <w:tcBorders>
              <w:top w:val="single" w:color="000000" w:sz="4" w:space="0"/>
              <w:left w:val="single" w:color="000000" w:sz="4" w:space="0"/>
              <w:bottom w:val="single" w:color="000000" w:sz="4" w:space="0"/>
              <w:right w:val="single" w:color="000000" w:sz="4" w:space="0"/>
            </w:tcBorders>
            <w:shd w:val="clear"/>
            <w:vAlign w:val="center"/>
          </w:tcPr>
          <w:p w14:paraId="275B09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质量指标</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14:paraId="401603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运维故障解决率</w:t>
            </w:r>
          </w:p>
        </w:tc>
        <w:tc>
          <w:tcPr>
            <w:tcW w:w="3022" w:type="dxa"/>
            <w:tcBorders>
              <w:top w:val="single" w:color="000000" w:sz="4" w:space="0"/>
              <w:left w:val="single" w:color="000000" w:sz="4" w:space="0"/>
              <w:bottom w:val="single" w:color="000000" w:sz="4" w:space="0"/>
              <w:right w:val="single" w:color="000000" w:sz="4" w:space="0"/>
            </w:tcBorders>
            <w:shd w:val="clear"/>
            <w:vAlign w:val="center"/>
          </w:tcPr>
          <w:p w14:paraId="6B0A22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856" w:type="dxa"/>
            <w:tcBorders>
              <w:top w:val="single" w:color="000000" w:sz="4" w:space="0"/>
              <w:left w:val="single" w:color="000000" w:sz="4" w:space="0"/>
              <w:bottom w:val="single" w:color="000000" w:sz="4" w:space="0"/>
              <w:right w:val="single" w:color="000000" w:sz="4" w:space="0"/>
            </w:tcBorders>
            <w:shd w:val="clear"/>
            <w:vAlign w:val="center"/>
          </w:tcPr>
          <w:p w14:paraId="4B6980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100</w:t>
            </w:r>
          </w:p>
        </w:tc>
        <w:tc>
          <w:tcPr>
            <w:tcW w:w="1096" w:type="dxa"/>
            <w:tcBorders>
              <w:top w:val="single" w:color="000000" w:sz="4" w:space="0"/>
              <w:left w:val="single" w:color="000000" w:sz="4" w:space="0"/>
              <w:bottom w:val="single" w:color="000000" w:sz="4" w:space="0"/>
              <w:right w:val="single" w:color="000000" w:sz="4" w:space="0"/>
            </w:tcBorders>
            <w:shd w:val="clear"/>
            <w:vAlign w:val="center"/>
          </w:tcPr>
          <w:p w14:paraId="6396DD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r>
      <w:tr w14:paraId="0BEA0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236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EC5C422">
            <w:pPr>
              <w:jc w:val="center"/>
              <w:rPr>
                <w:rFonts w:hint="eastAsia" w:ascii="宋体" w:hAnsi="宋体" w:eastAsia="宋体" w:cs="宋体"/>
                <w:i w:val="0"/>
                <w:iCs w:val="0"/>
                <w:color w:val="000000"/>
                <w:sz w:val="21"/>
                <w:szCs w:val="21"/>
                <w:u w:val="none"/>
              </w:rPr>
            </w:pPr>
          </w:p>
        </w:tc>
        <w:tc>
          <w:tcPr>
            <w:tcW w:w="1898" w:type="dxa"/>
            <w:vMerge w:val="restart"/>
            <w:tcBorders>
              <w:top w:val="single" w:color="000000" w:sz="4" w:space="0"/>
              <w:left w:val="single" w:color="000000" w:sz="4" w:space="0"/>
              <w:bottom w:val="single" w:color="000000" w:sz="4" w:space="0"/>
              <w:right w:val="single" w:color="000000" w:sz="4" w:space="0"/>
            </w:tcBorders>
            <w:shd w:val="clear"/>
            <w:vAlign w:val="center"/>
          </w:tcPr>
          <w:p w14:paraId="3BF08A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时效指标</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14:paraId="05FF2D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系统软件故障响应及时率</w:t>
            </w:r>
          </w:p>
        </w:tc>
        <w:tc>
          <w:tcPr>
            <w:tcW w:w="3022" w:type="dxa"/>
            <w:tcBorders>
              <w:top w:val="single" w:color="000000" w:sz="4" w:space="0"/>
              <w:left w:val="single" w:color="000000" w:sz="4" w:space="0"/>
              <w:bottom w:val="single" w:color="000000" w:sz="4" w:space="0"/>
              <w:right w:val="single" w:color="000000" w:sz="4" w:space="0"/>
            </w:tcBorders>
            <w:shd w:val="clear"/>
            <w:vAlign w:val="center"/>
          </w:tcPr>
          <w:p w14:paraId="355B2D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856" w:type="dxa"/>
            <w:tcBorders>
              <w:top w:val="single" w:color="000000" w:sz="4" w:space="0"/>
              <w:left w:val="single" w:color="000000" w:sz="4" w:space="0"/>
              <w:bottom w:val="single" w:color="000000" w:sz="4" w:space="0"/>
              <w:right w:val="single" w:color="000000" w:sz="4" w:space="0"/>
            </w:tcBorders>
            <w:shd w:val="clear"/>
            <w:vAlign w:val="center"/>
          </w:tcPr>
          <w:p w14:paraId="71B9BF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100</w:t>
            </w:r>
          </w:p>
        </w:tc>
        <w:tc>
          <w:tcPr>
            <w:tcW w:w="1096" w:type="dxa"/>
            <w:tcBorders>
              <w:top w:val="single" w:color="000000" w:sz="4" w:space="0"/>
              <w:left w:val="single" w:color="000000" w:sz="4" w:space="0"/>
              <w:bottom w:val="single" w:color="000000" w:sz="4" w:space="0"/>
              <w:right w:val="single" w:color="000000" w:sz="4" w:space="0"/>
            </w:tcBorders>
            <w:shd w:val="clear"/>
            <w:vAlign w:val="center"/>
          </w:tcPr>
          <w:p w14:paraId="7A1A1C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r>
      <w:tr w14:paraId="46F4E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236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90F1A78">
            <w:pPr>
              <w:jc w:val="center"/>
              <w:rPr>
                <w:rFonts w:hint="eastAsia" w:ascii="宋体" w:hAnsi="宋体" w:eastAsia="宋体" w:cs="宋体"/>
                <w:i w:val="0"/>
                <w:iCs w:val="0"/>
                <w:color w:val="000000"/>
                <w:sz w:val="21"/>
                <w:szCs w:val="21"/>
                <w:u w:val="none"/>
              </w:rPr>
            </w:pPr>
          </w:p>
        </w:tc>
        <w:tc>
          <w:tcPr>
            <w:tcW w:w="189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A8FBB38">
            <w:pPr>
              <w:jc w:val="center"/>
              <w:rPr>
                <w:rFonts w:hint="eastAsia" w:ascii="宋体" w:hAnsi="宋体" w:eastAsia="宋体" w:cs="宋体"/>
                <w:i w:val="0"/>
                <w:iCs w:val="0"/>
                <w:color w:val="000000"/>
                <w:sz w:val="21"/>
                <w:szCs w:val="21"/>
                <w:u w:val="none"/>
              </w:rPr>
            </w:pP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14:paraId="12B13C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系统软件故障平均恢复时长</w:t>
            </w:r>
          </w:p>
        </w:tc>
        <w:tc>
          <w:tcPr>
            <w:tcW w:w="3022" w:type="dxa"/>
            <w:tcBorders>
              <w:top w:val="single" w:color="000000" w:sz="4" w:space="0"/>
              <w:left w:val="single" w:color="000000" w:sz="4" w:space="0"/>
              <w:bottom w:val="single" w:color="000000" w:sz="4" w:space="0"/>
              <w:right w:val="single" w:color="000000" w:sz="4" w:space="0"/>
            </w:tcBorders>
            <w:shd w:val="clear"/>
            <w:vAlign w:val="center"/>
          </w:tcPr>
          <w:p w14:paraId="750000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856" w:type="dxa"/>
            <w:tcBorders>
              <w:top w:val="single" w:color="000000" w:sz="4" w:space="0"/>
              <w:left w:val="single" w:color="000000" w:sz="4" w:space="0"/>
              <w:bottom w:val="single" w:color="000000" w:sz="4" w:space="0"/>
              <w:right w:val="single" w:color="000000" w:sz="4" w:space="0"/>
            </w:tcBorders>
            <w:shd w:val="clear"/>
            <w:vAlign w:val="center"/>
          </w:tcPr>
          <w:p w14:paraId="791FD3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24</w:t>
            </w:r>
          </w:p>
        </w:tc>
        <w:tc>
          <w:tcPr>
            <w:tcW w:w="1096" w:type="dxa"/>
            <w:tcBorders>
              <w:top w:val="single" w:color="000000" w:sz="4" w:space="0"/>
              <w:left w:val="single" w:color="000000" w:sz="4" w:space="0"/>
              <w:bottom w:val="single" w:color="000000" w:sz="4" w:space="0"/>
              <w:right w:val="single" w:color="000000" w:sz="4" w:space="0"/>
            </w:tcBorders>
            <w:shd w:val="clear"/>
            <w:vAlign w:val="center"/>
          </w:tcPr>
          <w:p w14:paraId="45B98C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小时</w:t>
            </w:r>
          </w:p>
        </w:tc>
      </w:tr>
      <w:tr w14:paraId="5A3DD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2367" w:type="dxa"/>
            <w:tcBorders>
              <w:top w:val="single" w:color="000000" w:sz="4" w:space="0"/>
              <w:left w:val="single" w:color="000000" w:sz="4" w:space="0"/>
              <w:bottom w:val="single" w:color="000000" w:sz="4" w:space="0"/>
              <w:right w:val="single" w:color="000000" w:sz="4" w:space="0"/>
            </w:tcBorders>
            <w:shd w:val="clear"/>
            <w:vAlign w:val="center"/>
          </w:tcPr>
          <w:p w14:paraId="3E8760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效益指标</w:t>
            </w:r>
          </w:p>
        </w:tc>
        <w:tc>
          <w:tcPr>
            <w:tcW w:w="1898" w:type="dxa"/>
            <w:tcBorders>
              <w:top w:val="single" w:color="000000" w:sz="4" w:space="0"/>
              <w:left w:val="single" w:color="000000" w:sz="4" w:space="0"/>
              <w:bottom w:val="single" w:color="000000" w:sz="4" w:space="0"/>
              <w:right w:val="single" w:color="000000" w:sz="4" w:space="0"/>
            </w:tcBorders>
            <w:shd w:val="clear"/>
            <w:vAlign w:val="center"/>
          </w:tcPr>
          <w:p w14:paraId="4EB365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社会效益指标</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14:paraId="68E00A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系统软件正常运行率</w:t>
            </w:r>
          </w:p>
        </w:tc>
        <w:tc>
          <w:tcPr>
            <w:tcW w:w="3022" w:type="dxa"/>
            <w:tcBorders>
              <w:top w:val="single" w:color="000000" w:sz="4" w:space="0"/>
              <w:left w:val="single" w:color="000000" w:sz="4" w:space="0"/>
              <w:bottom w:val="single" w:color="000000" w:sz="4" w:space="0"/>
              <w:right w:val="single" w:color="000000" w:sz="4" w:space="0"/>
            </w:tcBorders>
            <w:shd w:val="clear"/>
            <w:vAlign w:val="center"/>
          </w:tcPr>
          <w:p w14:paraId="23A624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856" w:type="dxa"/>
            <w:tcBorders>
              <w:top w:val="single" w:color="000000" w:sz="4" w:space="0"/>
              <w:left w:val="single" w:color="000000" w:sz="4" w:space="0"/>
              <w:bottom w:val="single" w:color="000000" w:sz="4" w:space="0"/>
              <w:right w:val="single" w:color="000000" w:sz="4" w:space="0"/>
            </w:tcBorders>
            <w:shd w:val="clear"/>
            <w:vAlign w:val="center"/>
          </w:tcPr>
          <w:p w14:paraId="75B555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100</w:t>
            </w:r>
          </w:p>
        </w:tc>
        <w:tc>
          <w:tcPr>
            <w:tcW w:w="1096" w:type="dxa"/>
            <w:tcBorders>
              <w:top w:val="single" w:color="000000" w:sz="4" w:space="0"/>
              <w:left w:val="single" w:color="000000" w:sz="4" w:space="0"/>
              <w:bottom w:val="single" w:color="000000" w:sz="4" w:space="0"/>
              <w:right w:val="single" w:color="000000" w:sz="4" w:space="0"/>
            </w:tcBorders>
            <w:shd w:val="clear"/>
            <w:vAlign w:val="center"/>
          </w:tcPr>
          <w:p w14:paraId="4454B1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r>
      <w:tr w14:paraId="4EE68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67" w:type="dxa"/>
            <w:tcBorders>
              <w:top w:val="single" w:color="000000" w:sz="4" w:space="0"/>
              <w:left w:val="single" w:color="000000" w:sz="4" w:space="0"/>
              <w:bottom w:val="single" w:color="000000" w:sz="4" w:space="0"/>
              <w:right w:val="single" w:color="000000" w:sz="4" w:space="0"/>
            </w:tcBorders>
            <w:shd w:val="clear"/>
            <w:vAlign w:val="center"/>
          </w:tcPr>
          <w:p w14:paraId="389187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满意度指标</w:t>
            </w:r>
          </w:p>
        </w:tc>
        <w:tc>
          <w:tcPr>
            <w:tcW w:w="1898" w:type="dxa"/>
            <w:tcBorders>
              <w:top w:val="single" w:color="000000" w:sz="4" w:space="0"/>
              <w:left w:val="single" w:color="000000" w:sz="4" w:space="0"/>
              <w:bottom w:val="single" w:color="000000" w:sz="4" w:space="0"/>
              <w:right w:val="single" w:color="000000" w:sz="4" w:space="0"/>
            </w:tcBorders>
            <w:shd w:val="clear"/>
            <w:vAlign w:val="center"/>
          </w:tcPr>
          <w:p w14:paraId="0A1D8E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服务对象满意度指标</w:t>
            </w:r>
          </w:p>
        </w:tc>
        <w:tc>
          <w:tcPr>
            <w:tcW w:w="1515" w:type="dxa"/>
            <w:tcBorders>
              <w:top w:val="single" w:color="000000" w:sz="4" w:space="0"/>
              <w:left w:val="single" w:color="000000" w:sz="4" w:space="0"/>
              <w:bottom w:val="single" w:color="000000" w:sz="4" w:space="0"/>
              <w:right w:val="single" w:color="000000" w:sz="4" w:space="0"/>
            </w:tcBorders>
            <w:shd w:val="clear"/>
            <w:vAlign w:val="center"/>
          </w:tcPr>
          <w:p w14:paraId="054D3D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使用者满意度</w:t>
            </w:r>
          </w:p>
        </w:tc>
        <w:tc>
          <w:tcPr>
            <w:tcW w:w="3022" w:type="dxa"/>
            <w:tcBorders>
              <w:top w:val="single" w:color="000000" w:sz="4" w:space="0"/>
              <w:left w:val="single" w:color="000000" w:sz="4" w:space="0"/>
              <w:bottom w:val="single" w:color="000000" w:sz="4" w:space="0"/>
              <w:right w:val="single" w:color="000000" w:sz="4" w:space="0"/>
            </w:tcBorders>
            <w:shd w:val="clear"/>
            <w:vAlign w:val="center"/>
          </w:tcPr>
          <w:p w14:paraId="57FF71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856" w:type="dxa"/>
            <w:tcBorders>
              <w:top w:val="single" w:color="000000" w:sz="4" w:space="0"/>
              <w:left w:val="single" w:color="000000" w:sz="4" w:space="0"/>
              <w:bottom w:val="single" w:color="000000" w:sz="4" w:space="0"/>
              <w:right w:val="single" w:color="000000" w:sz="4" w:space="0"/>
            </w:tcBorders>
            <w:shd w:val="clear"/>
            <w:vAlign w:val="center"/>
          </w:tcPr>
          <w:p w14:paraId="517EC0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95</w:t>
            </w:r>
          </w:p>
        </w:tc>
        <w:tc>
          <w:tcPr>
            <w:tcW w:w="1096" w:type="dxa"/>
            <w:tcBorders>
              <w:top w:val="single" w:color="000000" w:sz="4" w:space="0"/>
              <w:left w:val="single" w:color="000000" w:sz="4" w:space="0"/>
              <w:bottom w:val="single" w:color="000000" w:sz="4" w:space="0"/>
              <w:right w:val="single" w:color="000000" w:sz="4" w:space="0"/>
            </w:tcBorders>
            <w:shd w:val="clear"/>
            <w:vAlign w:val="center"/>
          </w:tcPr>
          <w:p w14:paraId="1FB3C3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r>
    </w:tbl>
    <w:p w14:paraId="1B096DAA">
      <w:pPr>
        <w:rPr>
          <w:rFonts w:hint="eastAsia"/>
          <w:lang w:eastAsia="zh-CN"/>
        </w:rPr>
      </w:pPr>
    </w:p>
    <w:p w14:paraId="243CCFD3">
      <w:pPr>
        <w:rPr>
          <w:rFonts w:hint="eastAsia"/>
          <w:lang w:eastAsia="zh-CN"/>
        </w:rPr>
      </w:pPr>
    </w:p>
    <w:p w14:paraId="40228C65">
      <w:pPr>
        <w:rPr>
          <w:rFonts w:hint="eastAsia"/>
          <w:lang w:eastAsia="zh-CN"/>
        </w:rPr>
      </w:pPr>
    </w:p>
    <w:p w14:paraId="06095014">
      <w:pPr>
        <w:rPr>
          <w:rFonts w:hint="eastAsia"/>
          <w:lang w:eastAsia="zh-CN"/>
        </w:rPr>
      </w:pPr>
    </w:p>
    <w:p w14:paraId="5E53989C">
      <w:pPr>
        <w:rPr>
          <w:rFonts w:hint="eastAsia"/>
          <w:lang w:eastAsia="zh-CN"/>
        </w:rPr>
      </w:pPr>
    </w:p>
    <w:p w14:paraId="4C3864EF">
      <w:pPr>
        <w:rPr>
          <w:rFonts w:hint="eastAsia"/>
          <w:lang w:eastAsia="zh-CN"/>
        </w:rPr>
      </w:pPr>
    </w:p>
    <w:p w14:paraId="18686852">
      <w:pPr>
        <w:rPr>
          <w:rFonts w:hint="eastAsia"/>
          <w:lang w:eastAsia="zh-CN"/>
        </w:rPr>
      </w:pPr>
    </w:p>
    <w:p w14:paraId="58000897">
      <w:pPr>
        <w:rPr>
          <w:rFonts w:hint="eastAsia"/>
          <w:lang w:eastAsia="zh-CN"/>
        </w:rPr>
      </w:pPr>
    </w:p>
    <w:p w14:paraId="21020FAC">
      <w:pPr>
        <w:rPr>
          <w:rFonts w:hint="eastAsia"/>
          <w:lang w:eastAsia="zh-CN"/>
        </w:rPr>
      </w:pPr>
    </w:p>
    <w:p w14:paraId="5B85F46F">
      <w:pPr>
        <w:rPr>
          <w:rFonts w:hint="eastAsia"/>
          <w:lang w:eastAsia="zh-CN"/>
        </w:rPr>
      </w:pPr>
    </w:p>
    <w:p w14:paraId="36C54284">
      <w:pPr>
        <w:rPr>
          <w:rFonts w:hint="eastAsia"/>
          <w:lang w:eastAsia="zh-CN"/>
        </w:rPr>
      </w:pPr>
    </w:p>
    <w:p w14:paraId="539A8FE3">
      <w:pPr>
        <w:rPr>
          <w:rFonts w:hint="eastAsia"/>
          <w:lang w:eastAsia="zh-CN"/>
        </w:rPr>
      </w:pPr>
    </w:p>
    <w:p w14:paraId="2E431CCF">
      <w:pPr>
        <w:rPr>
          <w:rFonts w:hint="eastAsia"/>
          <w:lang w:eastAsia="zh-CN"/>
        </w:rPr>
      </w:pPr>
    </w:p>
    <w:p w14:paraId="2A4BA2B0">
      <w:pPr>
        <w:rPr>
          <w:rFonts w:hint="eastAsia"/>
          <w:lang w:eastAsia="zh-CN"/>
        </w:rPr>
      </w:pPr>
    </w:p>
    <w:p w14:paraId="4E0822AB">
      <w:pPr>
        <w:rPr>
          <w:rFonts w:hint="eastAsia"/>
          <w:lang w:eastAsia="zh-CN"/>
        </w:rPr>
      </w:pPr>
    </w:p>
    <w:tbl>
      <w:tblPr>
        <w:tblW w:w="106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367"/>
        <w:gridCol w:w="1898"/>
        <w:gridCol w:w="1176"/>
        <w:gridCol w:w="2862"/>
        <w:gridCol w:w="936"/>
        <w:gridCol w:w="1410"/>
      </w:tblGrid>
      <w:tr w14:paraId="704A5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0" w:hRule="atLeast"/>
        </w:trPr>
        <w:tc>
          <w:tcPr>
            <w:tcW w:w="10649" w:type="dxa"/>
            <w:gridSpan w:val="6"/>
            <w:tcBorders>
              <w:top w:val="nil"/>
              <w:left w:val="single" w:color="000000" w:sz="4" w:space="0"/>
              <w:bottom w:val="nil"/>
              <w:right w:val="nil"/>
            </w:tcBorders>
            <w:shd w:val="clear"/>
            <w:noWrap/>
            <w:vAlign w:val="center"/>
          </w:tcPr>
          <w:p w14:paraId="668BCCF8">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bdr w:val="none" w:color="auto" w:sz="0" w:space="0"/>
                <w:lang w:val="en-US" w:eastAsia="zh-CN" w:bidi="ar"/>
              </w:rPr>
              <w:t>财政监督专项经费项目绩效目标</w:t>
            </w:r>
          </w:p>
        </w:tc>
      </w:tr>
      <w:tr w14:paraId="548A3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0" w:type="auto"/>
            <w:gridSpan w:val="6"/>
            <w:tcBorders>
              <w:top w:val="nil"/>
              <w:left w:val="single" w:color="000000" w:sz="4" w:space="0"/>
              <w:bottom w:val="nil"/>
              <w:right w:val="nil"/>
            </w:tcBorders>
            <w:shd w:val="clear"/>
            <w:noWrap/>
            <w:vAlign w:val="center"/>
          </w:tcPr>
          <w:p w14:paraId="3F7BCB23">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bdr w:val="none" w:color="auto" w:sz="0" w:space="0"/>
                <w:lang w:val="en-US" w:eastAsia="zh-CN" w:bidi="ar"/>
              </w:rPr>
              <w:t>（2026年度）</w:t>
            </w:r>
          </w:p>
        </w:tc>
      </w:tr>
      <w:tr w14:paraId="1A03F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61F3D42">
            <w:pPr>
              <w:keepNext w:val="0"/>
              <w:keepLines w:val="0"/>
              <w:widowControl/>
              <w:suppressLineNumbers w:val="0"/>
              <w:jc w:val="left"/>
              <w:textAlignment w:val="center"/>
              <w:rPr>
                <w:rFonts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年度绩效目标</w:t>
            </w:r>
          </w:p>
        </w:tc>
        <w:tc>
          <w:tcPr>
            <w:tcW w:w="8282" w:type="dxa"/>
            <w:gridSpan w:val="5"/>
            <w:tcBorders>
              <w:top w:val="single" w:color="000000" w:sz="4" w:space="0"/>
              <w:left w:val="single" w:color="000000" w:sz="4" w:space="0"/>
              <w:bottom w:val="single" w:color="000000" w:sz="4" w:space="0"/>
              <w:right w:val="single" w:color="000000" w:sz="4" w:space="0"/>
            </w:tcBorders>
            <w:shd w:val="clear"/>
            <w:vAlign w:val="center"/>
          </w:tcPr>
          <w:p w14:paraId="07614F7C">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Theme="minorEastAsia" w:hAnsiTheme="minorEastAsia" w:eastAsiaTheme="minorEastAsia" w:cstheme="minorEastAsia"/>
                <w:b w:val="0"/>
                <w:i w:val="0"/>
                <w:iCs w:val="0"/>
                <w:color w:val="000000"/>
                <w:kern w:val="0"/>
                <w:sz w:val="18"/>
                <w:szCs w:val="18"/>
                <w:u w:val="none"/>
                <w:lang w:val="en-US" w:eastAsia="zh-CN" w:bidi="ar"/>
              </w:rPr>
              <w:t>在确保财政监督及绩效评价购买中介服务费不超过30万元的前提下，通过对至少10个单位进行财政监督检查，并对不少于10个重大项目支出及约10个部门整体支出进行绩效评价，实现应查尽查、报告出具无遗漏且及时的目标。通过财政监督检查与绩效评价结果的直接应用，与预算资金安排紧密挂钩，全面提升财政资源配置与资金使用效率。确保检查报告及评价报告出具及时率、财政监督检查及时率、评价结果应用率、审计操作问题整改率均达到100％，同时赢得受检单位的全面满意，满意度达95％，推动财政管理效能的显著提升。</w:t>
            </w:r>
          </w:p>
        </w:tc>
      </w:tr>
      <w:tr w14:paraId="7F075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CCFFFF"/>
            <w:noWrap/>
            <w:vAlign w:val="center"/>
          </w:tcPr>
          <w:p w14:paraId="0C04BBF8">
            <w:pPr>
              <w:keepNext w:val="0"/>
              <w:keepLines w:val="0"/>
              <w:widowControl/>
              <w:suppressLineNumbers w:val="0"/>
              <w:jc w:val="center"/>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分解指标</w:t>
            </w:r>
          </w:p>
        </w:tc>
      </w:tr>
      <w:tr w14:paraId="24DB4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CCFFFF"/>
            <w:noWrap/>
            <w:vAlign w:val="center"/>
          </w:tcPr>
          <w:p w14:paraId="0CF21B12">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CCFFFF"/>
            <w:noWrap/>
            <w:vAlign w:val="center"/>
          </w:tcPr>
          <w:p w14:paraId="4FC58722">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8063B37">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F0F6956">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指标值类型</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B714BCA">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96FEF22">
            <w:pPr>
              <w:keepNext w:val="0"/>
              <w:keepLines w:val="0"/>
              <w:widowControl/>
              <w:suppressLineNumbers w:val="0"/>
              <w:jc w:val="left"/>
              <w:textAlignment w:val="center"/>
              <w:rPr>
                <w:rFonts w:hint="default" w:ascii="思源黑体" w:hAnsi="思源黑体" w:eastAsia="思源黑体" w:cs="思源黑体"/>
                <w:i w:val="0"/>
                <w:iCs w:val="0"/>
                <w:color w:val="000000"/>
                <w:sz w:val="24"/>
                <w:szCs w:val="24"/>
                <w:u w:val="none"/>
              </w:rPr>
            </w:pPr>
            <w:r>
              <w:rPr>
                <w:rFonts w:hint="default" w:ascii="思源黑体" w:hAnsi="思源黑体" w:eastAsia="思源黑体" w:cs="思源黑体"/>
                <w:i w:val="0"/>
                <w:iCs w:val="0"/>
                <w:color w:val="000000"/>
                <w:kern w:val="0"/>
                <w:sz w:val="24"/>
                <w:szCs w:val="24"/>
                <w:u w:val="none"/>
                <w:bdr w:val="none" w:color="auto" w:sz="0" w:space="0"/>
                <w:lang w:val="en-US" w:eastAsia="zh-CN" w:bidi="ar"/>
              </w:rPr>
              <w:t>度量单位</w:t>
            </w:r>
          </w:p>
        </w:tc>
      </w:tr>
      <w:tr w14:paraId="2E85F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2367" w:type="dxa"/>
            <w:tcBorders>
              <w:top w:val="single" w:color="000000" w:sz="4" w:space="0"/>
              <w:left w:val="single" w:color="000000" w:sz="4" w:space="0"/>
              <w:bottom w:val="single" w:color="000000" w:sz="4" w:space="0"/>
              <w:right w:val="single" w:color="000000" w:sz="4" w:space="0"/>
            </w:tcBorders>
            <w:shd w:val="clear"/>
            <w:vAlign w:val="center"/>
          </w:tcPr>
          <w:p w14:paraId="1986D9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成本指标</w:t>
            </w:r>
          </w:p>
        </w:tc>
        <w:tc>
          <w:tcPr>
            <w:tcW w:w="1898" w:type="dxa"/>
            <w:tcBorders>
              <w:top w:val="single" w:color="000000" w:sz="4" w:space="0"/>
              <w:left w:val="single" w:color="000000" w:sz="4" w:space="0"/>
              <w:bottom w:val="single" w:color="000000" w:sz="4" w:space="0"/>
              <w:right w:val="single" w:color="000000" w:sz="4" w:space="0"/>
            </w:tcBorders>
            <w:shd w:val="clear"/>
            <w:vAlign w:val="center"/>
          </w:tcPr>
          <w:p w14:paraId="4019DB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经济成本指标</w:t>
            </w:r>
          </w:p>
        </w:tc>
        <w:tc>
          <w:tcPr>
            <w:tcW w:w="1096" w:type="dxa"/>
            <w:tcBorders>
              <w:top w:val="single" w:color="000000" w:sz="4" w:space="0"/>
              <w:left w:val="single" w:color="000000" w:sz="4" w:space="0"/>
              <w:bottom w:val="single" w:color="000000" w:sz="4" w:space="0"/>
              <w:right w:val="single" w:color="000000" w:sz="4" w:space="0"/>
            </w:tcBorders>
            <w:shd w:val="clear"/>
            <w:vAlign w:val="center"/>
          </w:tcPr>
          <w:p w14:paraId="20E0A4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财政监督及绩效评价购买中介服务费</w:t>
            </w:r>
          </w:p>
        </w:tc>
        <w:tc>
          <w:tcPr>
            <w:tcW w:w="3022" w:type="dxa"/>
            <w:tcBorders>
              <w:top w:val="single" w:color="000000" w:sz="4" w:space="0"/>
              <w:left w:val="single" w:color="000000" w:sz="4" w:space="0"/>
              <w:bottom w:val="single" w:color="000000" w:sz="4" w:space="0"/>
              <w:right w:val="single" w:color="000000" w:sz="4" w:space="0"/>
            </w:tcBorders>
            <w:shd w:val="clear"/>
            <w:vAlign w:val="center"/>
          </w:tcPr>
          <w:p w14:paraId="54FDEB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856" w:type="dxa"/>
            <w:tcBorders>
              <w:top w:val="single" w:color="000000" w:sz="4" w:space="0"/>
              <w:left w:val="single" w:color="000000" w:sz="4" w:space="0"/>
              <w:bottom w:val="single" w:color="000000" w:sz="4" w:space="0"/>
              <w:right w:val="single" w:color="000000" w:sz="4" w:space="0"/>
            </w:tcBorders>
            <w:shd w:val="clear"/>
            <w:vAlign w:val="center"/>
          </w:tcPr>
          <w:p w14:paraId="38ED60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300000</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74A214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元</w:t>
            </w:r>
          </w:p>
        </w:tc>
      </w:tr>
      <w:tr w14:paraId="206D5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2367" w:type="dxa"/>
            <w:vMerge w:val="restart"/>
            <w:tcBorders>
              <w:top w:val="single" w:color="000000" w:sz="4" w:space="0"/>
              <w:left w:val="single" w:color="000000" w:sz="4" w:space="0"/>
              <w:bottom w:val="single" w:color="000000" w:sz="4" w:space="0"/>
              <w:right w:val="single" w:color="000000" w:sz="4" w:space="0"/>
            </w:tcBorders>
            <w:shd w:val="clear"/>
            <w:vAlign w:val="center"/>
          </w:tcPr>
          <w:p w14:paraId="226711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产出指标</w:t>
            </w:r>
          </w:p>
        </w:tc>
        <w:tc>
          <w:tcPr>
            <w:tcW w:w="1898" w:type="dxa"/>
            <w:vMerge w:val="restart"/>
            <w:tcBorders>
              <w:top w:val="single" w:color="000000" w:sz="4" w:space="0"/>
              <w:left w:val="single" w:color="000000" w:sz="4" w:space="0"/>
              <w:bottom w:val="single" w:color="000000" w:sz="4" w:space="0"/>
              <w:right w:val="single" w:color="000000" w:sz="4" w:space="0"/>
            </w:tcBorders>
            <w:shd w:val="clear"/>
            <w:vAlign w:val="center"/>
          </w:tcPr>
          <w:p w14:paraId="797C60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数量指标</w:t>
            </w:r>
          </w:p>
        </w:tc>
        <w:tc>
          <w:tcPr>
            <w:tcW w:w="1096" w:type="dxa"/>
            <w:tcBorders>
              <w:top w:val="single" w:color="000000" w:sz="4" w:space="0"/>
              <w:left w:val="single" w:color="000000" w:sz="4" w:space="0"/>
              <w:bottom w:val="single" w:color="000000" w:sz="4" w:space="0"/>
              <w:right w:val="single" w:color="000000" w:sz="4" w:space="0"/>
            </w:tcBorders>
            <w:shd w:val="clear"/>
            <w:vAlign w:val="center"/>
          </w:tcPr>
          <w:p w14:paraId="2F0A7C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财政监督检查单位数量</w:t>
            </w:r>
          </w:p>
        </w:tc>
        <w:tc>
          <w:tcPr>
            <w:tcW w:w="3022" w:type="dxa"/>
            <w:tcBorders>
              <w:top w:val="single" w:color="000000" w:sz="4" w:space="0"/>
              <w:left w:val="single" w:color="000000" w:sz="4" w:space="0"/>
              <w:bottom w:val="single" w:color="000000" w:sz="4" w:space="0"/>
              <w:right w:val="single" w:color="000000" w:sz="4" w:space="0"/>
            </w:tcBorders>
            <w:shd w:val="clear"/>
            <w:vAlign w:val="center"/>
          </w:tcPr>
          <w:p w14:paraId="41F7B4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856" w:type="dxa"/>
            <w:tcBorders>
              <w:top w:val="single" w:color="000000" w:sz="4" w:space="0"/>
              <w:left w:val="single" w:color="000000" w:sz="4" w:space="0"/>
              <w:bottom w:val="single" w:color="000000" w:sz="4" w:space="0"/>
              <w:right w:val="single" w:color="000000" w:sz="4" w:space="0"/>
            </w:tcBorders>
            <w:shd w:val="clear"/>
            <w:vAlign w:val="center"/>
          </w:tcPr>
          <w:p w14:paraId="3A3110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0DD280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w:t>
            </w:r>
          </w:p>
        </w:tc>
      </w:tr>
      <w:tr w14:paraId="452B4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236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C7988E9">
            <w:pPr>
              <w:jc w:val="center"/>
              <w:rPr>
                <w:rFonts w:hint="eastAsia" w:ascii="宋体" w:hAnsi="宋体" w:eastAsia="宋体" w:cs="宋体"/>
                <w:i w:val="0"/>
                <w:iCs w:val="0"/>
                <w:color w:val="000000"/>
                <w:sz w:val="21"/>
                <w:szCs w:val="21"/>
                <w:u w:val="none"/>
              </w:rPr>
            </w:pPr>
          </w:p>
        </w:tc>
        <w:tc>
          <w:tcPr>
            <w:tcW w:w="189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7D228C4">
            <w:pPr>
              <w:jc w:val="center"/>
              <w:rPr>
                <w:rFonts w:hint="eastAsia" w:ascii="宋体" w:hAnsi="宋体" w:eastAsia="宋体" w:cs="宋体"/>
                <w:i w:val="0"/>
                <w:iCs w:val="0"/>
                <w:color w:val="000000"/>
                <w:sz w:val="21"/>
                <w:szCs w:val="21"/>
                <w:u w:val="none"/>
              </w:rPr>
            </w:pPr>
          </w:p>
        </w:tc>
        <w:tc>
          <w:tcPr>
            <w:tcW w:w="1096" w:type="dxa"/>
            <w:tcBorders>
              <w:top w:val="single" w:color="000000" w:sz="4" w:space="0"/>
              <w:left w:val="single" w:color="000000" w:sz="4" w:space="0"/>
              <w:bottom w:val="single" w:color="000000" w:sz="4" w:space="0"/>
              <w:right w:val="single" w:color="000000" w:sz="4" w:space="0"/>
            </w:tcBorders>
            <w:shd w:val="clear"/>
            <w:vAlign w:val="center"/>
          </w:tcPr>
          <w:p w14:paraId="70EB16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重大项目支出绩效评价数量</w:t>
            </w:r>
          </w:p>
        </w:tc>
        <w:tc>
          <w:tcPr>
            <w:tcW w:w="3022" w:type="dxa"/>
            <w:tcBorders>
              <w:top w:val="single" w:color="000000" w:sz="4" w:space="0"/>
              <w:left w:val="single" w:color="000000" w:sz="4" w:space="0"/>
              <w:bottom w:val="single" w:color="000000" w:sz="4" w:space="0"/>
              <w:right w:val="single" w:color="000000" w:sz="4" w:space="0"/>
            </w:tcBorders>
            <w:shd w:val="clear"/>
            <w:vAlign w:val="center"/>
          </w:tcPr>
          <w:p w14:paraId="00194F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856" w:type="dxa"/>
            <w:tcBorders>
              <w:top w:val="single" w:color="000000" w:sz="4" w:space="0"/>
              <w:left w:val="single" w:color="000000" w:sz="4" w:space="0"/>
              <w:bottom w:val="single" w:color="000000" w:sz="4" w:space="0"/>
              <w:right w:val="single" w:color="000000" w:sz="4" w:space="0"/>
            </w:tcBorders>
            <w:shd w:val="clear"/>
            <w:vAlign w:val="center"/>
          </w:tcPr>
          <w:p w14:paraId="197F72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534980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w:t>
            </w:r>
          </w:p>
        </w:tc>
      </w:tr>
      <w:tr w14:paraId="6F634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236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87CD902">
            <w:pPr>
              <w:jc w:val="center"/>
              <w:rPr>
                <w:rFonts w:hint="eastAsia" w:ascii="宋体" w:hAnsi="宋体" w:eastAsia="宋体" w:cs="宋体"/>
                <w:i w:val="0"/>
                <w:iCs w:val="0"/>
                <w:color w:val="000000"/>
                <w:sz w:val="21"/>
                <w:szCs w:val="21"/>
                <w:u w:val="none"/>
              </w:rPr>
            </w:pPr>
          </w:p>
        </w:tc>
        <w:tc>
          <w:tcPr>
            <w:tcW w:w="189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73AE0AE">
            <w:pPr>
              <w:jc w:val="center"/>
              <w:rPr>
                <w:rFonts w:hint="eastAsia" w:ascii="宋体" w:hAnsi="宋体" w:eastAsia="宋体" w:cs="宋体"/>
                <w:i w:val="0"/>
                <w:iCs w:val="0"/>
                <w:color w:val="000000"/>
                <w:sz w:val="21"/>
                <w:szCs w:val="21"/>
                <w:u w:val="none"/>
              </w:rPr>
            </w:pPr>
          </w:p>
        </w:tc>
        <w:tc>
          <w:tcPr>
            <w:tcW w:w="1096" w:type="dxa"/>
            <w:tcBorders>
              <w:top w:val="single" w:color="000000" w:sz="4" w:space="0"/>
              <w:left w:val="single" w:color="000000" w:sz="4" w:space="0"/>
              <w:bottom w:val="single" w:color="000000" w:sz="4" w:space="0"/>
              <w:right w:val="single" w:color="000000" w:sz="4" w:space="0"/>
            </w:tcBorders>
            <w:shd w:val="clear"/>
            <w:vAlign w:val="center"/>
          </w:tcPr>
          <w:p w14:paraId="6BEB29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部门整体支出评价对象数量</w:t>
            </w:r>
          </w:p>
        </w:tc>
        <w:tc>
          <w:tcPr>
            <w:tcW w:w="3022" w:type="dxa"/>
            <w:tcBorders>
              <w:top w:val="single" w:color="000000" w:sz="4" w:space="0"/>
              <w:left w:val="single" w:color="000000" w:sz="4" w:space="0"/>
              <w:bottom w:val="single" w:color="000000" w:sz="4" w:space="0"/>
              <w:right w:val="single" w:color="000000" w:sz="4" w:space="0"/>
            </w:tcBorders>
            <w:shd w:val="clear"/>
            <w:vAlign w:val="center"/>
          </w:tcPr>
          <w:p w14:paraId="1F4D10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856" w:type="dxa"/>
            <w:tcBorders>
              <w:top w:val="single" w:color="000000" w:sz="4" w:space="0"/>
              <w:left w:val="single" w:color="000000" w:sz="4" w:space="0"/>
              <w:bottom w:val="single" w:color="000000" w:sz="4" w:space="0"/>
              <w:right w:val="single" w:color="000000" w:sz="4" w:space="0"/>
            </w:tcBorders>
            <w:shd w:val="clear"/>
            <w:vAlign w:val="center"/>
          </w:tcPr>
          <w:p w14:paraId="3519F5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32664D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个</w:t>
            </w:r>
          </w:p>
        </w:tc>
      </w:tr>
      <w:tr w14:paraId="2E549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6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155EC27">
            <w:pPr>
              <w:jc w:val="center"/>
              <w:rPr>
                <w:rFonts w:hint="eastAsia" w:ascii="宋体" w:hAnsi="宋体" w:eastAsia="宋体" w:cs="宋体"/>
                <w:i w:val="0"/>
                <w:iCs w:val="0"/>
                <w:color w:val="000000"/>
                <w:sz w:val="21"/>
                <w:szCs w:val="21"/>
                <w:u w:val="none"/>
              </w:rPr>
            </w:pPr>
          </w:p>
        </w:tc>
        <w:tc>
          <w:tcPr>
            <w:tcW w:w="1898" w:type="dxa"/>
            <w:vMerge w:val="restart"/>
            <w:tcBorders>
              <w:top w:val="single" w:color="000000" w:sz="4" w:space="0"/>
              <w:left w:val="single" w:color="000000" w:sz="4" w:space="0"/>
              <w:bottom w:val="single" w:color="000000" w:sz="4" w:space="0"/>
              <w:right w:val="single" w:color="000000" w:sz="4" w:space="0"/>
            </w:tcBorders>
            <w:shd w:val="clear"/>
            <w:vAlign w:val="center"/>
          </w:tcPr>
          <w:p w14:paraId="7ABD82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质量指标</w:t>
            </w:r>
          </w:p>
        </w:tc>
        <w:tc>
          <w:tcPr>
            <w:tcW w:w="1096" w:type="dxa"/>
            <w:tcBorders>
              <w:top w:val="single" w:color="000000" w:sz="4" w:space="0"/>
              <w:left w:val="single" w:color="000000" w:sz="4" w:space="0"/>
              <w:bottom w:val="single" w:color="000000" w:sz="4" w:space="0"/>
              <w:right w:val="single" w:color="000000" w:sz="4" w:space="0"/>
            </w:tcBorders>
            <w:shd w:val="clear"/>
            <w:vAlign w:val="center"/>
          </w:tcPr>
          <w:p w14:paraId="1D1A23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应查尽查率</w:t>
            </w:r>
          </w:p>
        </w:tc>
        <w:tc>
          <w:tcPr>
            <w:tcW w:w="3022" w:type="dxa"/>
            <w:tcBorders>
              <w:top w:val="single" w:color="000000" w:sz="4" w:space="0"/>
              <w:left w:val="single" w:color="000000" w:sz="4" w:space="0"/>
              <w:bottom w:val="single" w:color="000000" w:sz="4" w:space="0"/>
              <w:right w:val="single" w:color="000000" w:sz="4" w:space="0"/>
            </w:tcBorders>
            <w:shd w:val="clear"/>
            <w:vAlign w:val="center"/>
          </w:tcPr>
          <w:p w14:paraId="0DDFA2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856" w:type="dxa"/>
            <w:tcBorders>
              <w:top w:val="single" w:color="000000" w:sz="4" w:space="0"/>
              <w:left w:val="single" w:color="000000" w:sz="4" w:space="0"/>
              <w:bottom w:val="single" w:color="000000" w:sz="4" w:space="0"/>
              <w:right w:val="single" w:color="000000" w:sz="4" w:space="0"/>
            </w:tcBorders>
            <w:shd w:val="clear"/>
            <w:vAlign w:val="center"/>
          </w:tcPr>
          <w:p w14:paraId="4B38CF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100</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6522DF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r>
      <w:tr w14:paraId="4BC66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6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79F81A4">
            <w:pPr>
              <w:jc w:val="center"/>
              <w:rPr>
                <w:rFonts w:hint="eastAsia" w:ascii="宋体" w:hAnsi="宋体" w:eastAsia="宋体" w:cs="宋体"/>
                <w:i w:val="0"/>
                <w:iCs w:val="0"/>
                <w:color w:val="000000"/>
                <w:sz w:val="21"/>
                <w:szCs w:val="21"/>
                <w:u w:val="none"/>
              </w:rPr>
            </w:pPr>
          </w:p>
        </w:tc>
        <w:tc>
          <w:tcPr>
            <w:tcW w:w="189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9AF0284">
            <w:pPr>
              <w:jc w:val="center"/>
              <w:rPr>
                <w:rFonts w:hint="eastAsia" w:ascii="宋体" w:hAnsi="宋体" w:eastAsia="宋体" w:cs="宋体"/>
                <w:i w:val="0"/>
                <w:iCs w:val="0"/>
                <w:color w:val="000000"/>
                <w:sz w:val="21"/>
                <w:szCs w:val="21"/>
                <w:u w:val="none"/>
              </w:rPr>
            </w:pPr>
          </w:p>
        </w:tc>
        <w:tc>
          <w:tcPr>
            <w:tcW w:w="1096" w:type="dxa"/>
            <w:tcBorders>
              <w:top w:val="single" w:color="000000" w:sz="4" w:space="0"/>
              <w:left w:val="single" w:color="000000" w:sz="4" w:space="0"/>
              <w:bottom w:val="single" w:color="000000" w:sz="4" w:space="0"/>
              <w:right w:val="single" w:color="000000" w:sz="4" w:space="0"/>
            </w:tcBorders>
            <w:shd w:val="clear"/>
            <w:vAlign w:val="center"/>
          </w:tcPr>
          <w:p w14:paraId="54A5A0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出具评价报告比例</w:t>
            </w:r>
          </w:p>
        </w:tc>
        <w:tc>
          <w:tcPr>
            <w:tcW w:w="3022" w:type="dxa"/>
            <w:tcBorders>
              <w:top w:val="single" w:color="000000" w:sz="4" w:space="0"/>
              <w:left w:val="single" w:color="000000" w:sz="4" w:space="0"/>
              <w:bottom w:val="single" w:color="000000" w:sz="4" w:space="0"/>
              <w:right w:val="single" w:color="000000" w:sz="4" w:space="0"/>
            </w:tcBorders>
            <w:shd w:val="clear"/>
            <w:vAlign w:val="center"/>
          </w:tcPr>
          <w:p w14:paraId="1DB1F8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856" w:type="dxa"/>
            <w:tcBorders>
              <w:top w:val="single" w:color="000000" w:sz="4" w:space="0"/>
              <w:left w:val="single" w:color="000000" w:sz="4" w:space="0"/>
              <w:bottom w:val="single" w:color="000000" w:sz="4" w:space="0"/>
              <w:right w:val="single" w:color="000000" w:sz="4" w:space="0"/>
            </w:tcBorders>
            <w:shd w:val="clear"/>
            <w:vAlign w:val="center"/>
          </w:tcPr>
          <w:p w14:paraId="1DE8C5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100</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1C1247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r>
      <w:tr w14:paraId="05447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236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2E85703">
            <w:pPr>
              <w:jc w:val="center"/>
              <w:rPr>
                <w:rFonts w:hint="eastAsia" w:ascii="宋体" w:hAnsi="宋体" w:eastAsia="宋体" w:cs="宋体"/>
                <w:i w:val="0"/>
                <w:iCs w:val="0"/>
                <w:color w:val="000000"/>
                <w:sz w:val="21"/>
                <w:szCs w:val="21"/>
                <w:u w:val="none"/>
              </w:rPr>
            </w:pPr>
          </w:p>
        </w:tc>
        <w:tc>
          <w:tcPr>
            <w:tcW w:w="1898" w:type="dxa"/>
            <w:vMerge w:val="restart"/>
            <w:tcBorders>
              <w:top w:val="single" w:color="000000" w:sz="4" w:space="0"/>
              <w:left w:val="single" w:color="000000" w:sz="4" w:space="0"/>
              <w:bottom w:val="single" w:color="000000" w:sz="4" w:space="0"/>
              <w:right w:val="single" w:color="000000" w:sz="4" w:space="0"/>
            </w:tcBorders>
            <w:shd w:val="clear"/>
            <w:vAlign w:val="center"/>
          </w:tcPr>
          <w:p w14:paraId="27F218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时效指标</w:t>
            </w:r>
          </w:p>
        </w:tc>
        <w:tc>
          <w:tcPr>
            <w:tcW w:w="1096" w:type="dxa"/>
            <w:tcBorders>
              <w:top w:val="single" w:color="000000" w:sz="4" w:space="0"/>
              <w:left w:val="single" w:color="000000" w:sz="4" w:space="0"/>
              <w:bottom w:val="single" w:color="000000" w:sz="4" w:space="0"/>
              <w:right w:val="single" w:color="000000" w:sz="4" w:space="0"/>
            </w:tcBorders>
            <w:shd w:val="clear"/>
            <w:vAlign w:val="center"/>
          </w:tcPr>
          <w:p w14:paraId="07F907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检查报告及评价报告出具及时率</w:t>
            </w:r>
          </w:p>
        </w:tc>
        <w:tc>
          <w:tcPr>
            <w:tcW w:w="3022" w:type="dxa"/>
            <w:tcBorders>
              <w:top w:val="single" w:color="000000" w:sz="4" w:space="0"/>
              <w:left w:val="single" w:color="000000" w:sz="4" w:space="0"/>
              <w:bottom w:val="single" w:color="000000" w:sz="4" w:space="0"/>
              <w:right w:val="single" w:color="000000" w:sz="4" w:space="0"/>
            </w:tcBorders>
            <w:shd w:val="clear"/>
            <w:vAlign w:val="center"/>
          </w:tcPr>
          <w:p w14:paraId="449473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856" w:type="dxa"/>
            <w:tcBorders>
              <w:top w:val="single" w:color="000000" w:sz="4" w:space="0"/>
              <w:left w:val="single" w:color="000000" w:sz="4" w:space="0"/>
              <w:bottom w:val="single" w:color="000000" w:sz="4" w:space="0"/>
              <w:right w:val="single" w:color="000000" w:sz="4" w:space="0"/>
            </w:tcBorders>
            <w:shd w:val="clear"/>
            <w:vAlign w:val="center"/>
          </w:tcPr>
          <w:p w14:paraId="07F6FF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100</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5D094C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r>
      <w:tr w14:paraId="21C89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236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4B60196">
            <w:pPr>
              <w:jc w:val="center"/>
              <w:rPr>
                <w:rFonts w:hint="eastAsia" w:ascii="宋体" w:hAnsi="宋体" w:eastAsia="宋体" w:cs="宋体"/>
                <w:i w:val="0"/>
                <w:iCs w:val="0"/>
                <w:color w:val="000000"/>
                <w:sz w:val="21"/>
                <w:szCs w:val="21"/>
                <w:u w:val="none"/>
              </w:rPr>
            </w:pPr>
          </w:p>
        </w:tc>
        <w:tc>
          <w:tcPr>
            <w:tcW w:w="189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A1ECE18">
            <w:pPr>
              <w:jc w:val="center"/>
              <w:rPr>
                <w:rFonts w:hint="eastAsia" w:ascii="宋体" w:hAnsi="宋体" w:eastAsia="宋体" w:cs="宋体"/>
                <w:i w:val="0"/>
                <w:iCs w:val="0"/>
                <w:color w:val="000000"/>
                <w:sz w:val="21"/>
                <w:szCs w:val="21"/>
                <w:u w:val="none"/>
              </w:rPr>
            </w:pPr>
          </w:p>
        </w:tc>
        <w:tc>
          <w:tcPr>
            <w:tcW w:w="1096" w:type="dxa"/>
            <w:tcBorders>
              <w:top w:val="single" w:color="000000" w:sz="4" w:space="0"/>
              <w:left w:val="single" w:color="000000" w:sz="4" w:space="0"/>
              <w:bottom w:val="single" w:color="000000" w:sz="4" w:space="0"/>
              <w:right w:val="single" w:color="000000" w:sz="4" w:space="0"/>
            </w:tcBorders>
            <w:shd w:val="clear"/>
            <w:vAlign w:val="center"/>
          </w:tcPr>
          <w:p w14:paraId="011EA4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财政监督检查及时率</w:t>
            </w:r>
          </w:p>
        </w:tc>
        <w:tc>
          <w:tcPr>
            <w:tcW w:w="3022" w:type="dxa"/>
            <w:tcBorders>
              <w:top w:val="single" w:color="000000" w:sz="4" w:space="0"/>
              <w:left w:val="single" w:color="000000" w:sz="4" w:space="0"/>
              <w:bottom w:val="single" w:color="000000" w:sz="4" w:space="0"/>
              <w:right w:val="single" w:color="000000" w:sz="4" w:space="0"/>
            </w:tcBorders>
            <w:shd w:val="clear"/>
            <w:vAlign w:val="center"/>
          </w:tcPr>
          <w:p w14:paraId="0EFE92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856" w:type="dxa"/>
            <w:tcBorders>
              <w:top w:val="single" w:color="000000" w:sz="4" w:space="0"/>
              <w:left w:val="single" w:color="000000" w:sz="4" w:space="0"/>
              <w:bottom w:val="single" w:color="000000" w:sz="4" w:space="0"/>
              <w:right w:val="single" w:color="000000" w:sz="4" w:space="0"/>
            </w:tcBorders>
            <w:shd w:val="clear"/>
            <w:vAlign w:val="center"/>
          </w:tcPr>
          <w:p w14:paraId="1855DB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100</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4592AB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r>
      <w:tr w14:paraId="1676C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67" w:type="dxa"/>
            <w:vMerge w:val="restart"/>
            <w:tcBorders>
              <w:top w:val="single" w:color="000000" w:sz="4" w:space="0"/>
              <w:left w:val="single" w:color="000000" w:sz="4" w:space="0"/>
              <w:bottom w:val="single" w:color="000000" w:sz="4" w:space="0"/>
              <w:right w:val="single" w:color="000000" w:sz="4" w:space="0"/>
            </w:tcBorders>
            <w:shd w:val="clear"/>
            <w:vAlign w:val="center"/>
          </w:tcPr>
          <w:p w14:paraId="348D70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效益指标</w:t>
            </w:r>
          </w:p>
        </w:tc>
        <w:tc>
          <w:tcPr>
            <w:tcW w:w="1898" w:type="dxa"/>
            <w:vMerge w:val="restart"/>
            <w:tcBorders>
              <w:top w:val="single" w:color="000000" w:sz="4" w:space="0"/>
              <w:left w:val="single" w:color="000000" w:sz="4" w:space="0"/>
              <w:bottom w:val="single" w:color="000000" w:sz="4" w:space="0"/>
              <w:right w:val="single" w:color="000000" w:sz="4" w:space="0"/>
            </w:tcBorders>
            <w:shd w:val="clear"/>
            <w:vAlign w:val="center"/>
          </w:tcPr>
          <w:p w14:paraId="1CF96F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社会效益指标</w:t>
            </w:r>
          </w:p>
        </w:tc>
        <w:tc>
          <w:tcPr>
            <w:tcW w:w="1096" w:type="dxa"/>
            <w:tcBorders>
              <w:top w:val="single" w:color="000000" w:sz="4" w:space="0"/>
              <w:left w:val="single" w:color="000000" w:sz="4" w:space="0"/>
              <w:bottom w:val="single" w:color="000000" w:sz="4" w:space="0"/>
              <w:right w:val="single" w:color="000000" w:sz="4" w:space="0"/>
            </w:tcBorders>
            <w:shd w:val="clear"/>
            <w:vAlign w:val="center"/>
          </w:tcPr>
          <w:p w14:paraId="359481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评价结果应用率</w:t>
            </w:r>
          </w:p>
        </w:tc>
        <w:tc>
          <w:tcPr>
            <w:tcW w:w="3022" w:type="dxa"/>
            <w:tcBorders>
              <w:top w:val="single" w:color="000000" w:sz="4" w:space="0"/>
              <w:left w:val="single" w:color="000000" w:sz="4" w:space="0"/>
              <w:bottom w:val="single" w:color="000000" w:sz="4" w:space="0"/>
              <w:right w:val="single" w:color="000000" w:sz="4" w:space="0"/>
            </w:tcBorders>
            <w:shd w:val="clear"/>
            <w:vAlign w:val="center"/>
          </w:tcPr>
          <w:p w14:paraId="045572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856" w:type="dxa"/>
            <w:tcBorders>
              <w:top w:val="single" w:color="000000" w:sz="4" w:space="0"/>
              <w:left w:val="single" w:color="000000" w:sz="4" w:space="0"/>
              <w:bottom w:val="single" w:color="000000" w:sz="4" w:space="0"/>
              <w:right w:val="single" w:color="000000" w:sz="4" w:space="0"/>
            </w:tcBorders>
            <w:shd w:val="clear"/>
            <w:vAlign w:val="center"/>
          </w:tcPr>
          <w:p w14:paraId="78597D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100</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481527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r>
      <w:tr w14:paraId="14EC8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2367"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8FFC29E">
            <w:pPr>
              <w:jc w:val="center"/>
              <w:rPr>
                <w:rFonts w:hint="eastAsia" w:ascii="宋体" w:hAnsi="宋体" w:eastAsia="宋体" w:cs="宋体"/>
                <w:i w:val="0"/>
                <w:iCs w:val="0"/>
                <w:color w:val="000000"/>
                <w:sz w:val="21"/>
                <w:szCs w:val="21"/>
                <w:u w:val="none"/>
              </w:rPr>
            </w:pPr>
          </w:p>
        </w:tc>
        <w:tc>
          <w:tcPr>
            <w:tcW w:w="189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103A489">
            <w:pPr>
              <w:jc w:val="center"/>
              <w:rPr>
                <w:rFonts w:hint="eastAsia" w:ascii="宋体" w:hAnsi="宋体" w:eastAsia="宋体" w:cs="宋体"/>
                <w:i w:val="0"/>
                <w:iCs w:val="0"/>
                <w:color w:val="000000"/>
                <w:sz w:val="21"/>
                <w:szCs w:val="21"/>
                <w:u w:val="none"/>
              </w:rPr>
            </w:pPr>
          </w:p>
        </w:tc>
        <w:tc>
          <w:tcPr>
            <w:tcW w:w="1096" w:type="dxa"/>
            <w:tcBorders>
              <w:top w:val="single" w:color="000000" w:sz="4" w:space="0"/>
              <w:left w:val="single" w:color="000000" w:sz="4" w:space="0"/>
              <w:bottom w:val="single" w:color="000000" w:sz="4" w:space="0"/>
              <w:right w:val="single" w:color="000000" w:sz="4" w:space="0"/>
            </w:tcBorders>
            <w:shd w:val="clear"/>
            <w:vAlign w:val="center"/>
          </w:tcPr>
          <w:p w14:paraId="4A6EBC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审计查出问题整改率</w:t>
            </w:r>
          </w:p>
        </w:tc>
        <w:tc>
          <w:tcPr>
            <w:tcW w:w="3022" w:type="dxa"/>
            <w:tcBorders>
              <w:top w:val="single" w:color="000000" w:sz="4" w:space="0"/>
              <w:left w:val="single" w:color="000000" w:sz="4" w:space="0"/>
              <w:bottom w:val="single" w:color="000000" w:sz="4" w:space="0"/>
              <w:right w:val="single" w:color="000000" w:sz="4" w:space="0"/>
            </w:tcBorders>
            <w:shd w:val="clear"/>
            <w:vAlign w:val="center"/>
          </w:tcPr>
          <w:p w14:paraId="21F1B5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856" w:type="dxa"/>
            <w:tcBorders>
              <w:top w:val="single" w:color="000000" w:sz="4" w:space="0"/>
              <w:left w:val="single" w:color="000000" w:sz="4" w:space="0"/>
              <w:bottom w:val="single" w:color="000000" w:sz="4" w:space="0"/>
              <w:right w:val="single" w:color="000000" w:sz="4" w:space="0"/>
            </w:tcBorders>
            <w:shd w:val="clear"/>
            <w:vAlign w:val="center"/>
          </w:tcPr>
          <w:p w14:paraId="5C3270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100</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0E50BD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r>
      <w:tr w14:paraId="4894C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367" w:type="dxa"/>
            <w:tcBorders>
              <w:top w:val="single" w:color="000000" w:sz="4" w:space="0"/>
              <w:left w:val="single" w:color="000000" w:sz="4" w:space="0"/>
              <w:bottom w:val="single" w:color="000000" w:sz="4" w:space="0"/>
              <w:right w:val="single" w:color="000000" w:sz="4" w:space="0"/>
            </w:tcBorders>
            <w:shd w:val="clear"/>
            <w:vAlign w:val="center"/>
          </w:tcPr>
          <w:p w14:paraId="1564F1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满意度指标</w:t>
            </w:r>
          </w:p>
        </w:tc>
        <w:tc>
          <w:tcPr>
            <w:tcW w:w="1898" w:type="dxa"/>
            <w:tcBorders>
              <w:top w:val="single" w:color="000000" w:sz="4" w:space="0"/>
              <w:left w:val="single" w:color="000000" w:sz="4" w:space="0"/>
              <w:bottom w:val="single" w:color="000000" w:sz="4" w:space="0"/>
              <w:right w:val="single" w:color="000000" w:sz="4" w:space="0"/>
            </w:tcBorders>
            <w:shd w:val="clear"/>
            <w:vAlign w:val="center"/>
          </w:tcPr>
          <w:p w14:paraId="683335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服务对象满意度指标</w:t>
            </w:r>
          </w:p>
        </w:tc>
        <w:tc>
          <w:tcPr>
            <w:tcW w:w="1096" w:type="dxa"/>
            <w:tcBorders>
              <w:top w:val="single" w:color="000000" w:sz="4" w:space="0"/>
              <w:left w:val="single" w:color="000000" w:sz="4" w:space="0"/>
              <w:bottom w:val="single" w:color="000000" w:sz="4" w:space="0"/>
              <w:right w:val="single" w:color="000000" w:sz="4" w:space="0"/>
            </w:tcBorders>
            <w:shd w:val="clear"/>
            <w:vAlign w:val="center"/>
          </w:tcPr>
          <w:p w14:paraId="2CC30B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受检单位满意度</w:t>
            </w:r>
          </w:p>
        </w:tc>
        <w:tc>
          <w:tcPr>
            <w:tcW w:w="3022" w:type="dxa"/>
            <w:tcBorders>
              <w:top w:val="single" w:color="000000" w:sz="4" w:space="0"/>
              <w:left w:val="single" w:color="000000" w:sz="4" w:space="0"/>
              <w:bottom w:val="single" w:color="000000" w:sz="4" w:space="0"/>
              <w:right w:val="single" w:color="000000" w:sz="4" w:space="0"/>
            </w:tcBorders>
            <w:shd w:val="clear"/>
            <w:vAlign w:val="center"/>
          </w:tcPr>
          <w:p w14:paraId="2BB073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856" w:type="dxa"/>
            <w:tcBorders>
              <w:top w:val="single" w:color="000000" w:sz="4" w:space="0"/>
              <w:left w:val="single" w:color="000000" w:sz="4" w:space="0"/>
              <w:bottom w:val="single" w:color="000000" w:sz="4" w:space="0"/>
              <w:right w:val="single" w:color="000000" w:sz="4" w:space="0"/>
            </w:tcBorders>
            <w:shd w:val="clear"/>
            <w:vAlign w:val="center"/>
          </w:tcPr>
          <w:p w14:paraId="187AA4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95</w:t>
            </w:r>
          </w:p>
        </w:tc>
        <w:tc>
          <w:tcPr>
            <w:tcW w:w="1410" w:type="dxa"/>
            <w:tcBorders>
              <w:top w:val="single" w:color="000000" w:sz="4" w:space="0"/>
              <w:left w:val="single" w:color="000000" w:sz="4" w:space="0"/>
              <w:bottom w:val="single" w:color="000000" w:sz="4" w:space="0"/>
              <w:right w:val="single" w:color="000000" w:sz="4" w:space="0"/>
            </w:tcBorders>
            <w:shd w:val="clear"/>
            <w:vAlign w:val="center"/>
          </w:tcPr>
          <w:p w14:paraId="062552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r>
    </w:tbl>
    <w:p w14:paraId="4FE510A9">
      <w:pPr>
        <w:rPr>
          <w:rFonts w:hint="eastAsia"/>
          <w:lang w:eastAsia="zh-CN"/>
        </w:rPr>
        <w:sectPr>
          <w:pgSz w:w="11906" w:h="16838"/>
          <w:pgMar w:top="720" w:right="720" w:bottom="720" w:left="720" w:header="851" w:footer="992" w:gutter="0"/>
          <w:cols w:space="425" w:num="1"/>
          <w:docGrid w:type="lines" w:linePitch="312" w:charSpace="0"/>
        </w:sectPr>
      </w:pPr>
    </w:p>
    <w:p w14:paraId="7B0ED0AE">
      <w:pPr>
        <w:pStyle w:val="19"/>
        <w:numPr>
          <w:ilvl w:val="0"/>
          <w:numId w:val="0"/>
        </w:numPr>
        <w:bidi w:val="0"/>
        <w:ind w:left="420" w:leftChars="200"/>
        <w:jc w:val="center"/>
        <w:rPr>
          <w:rFonts w:hint="eastAsia"/>
          <w:lang w:val="en-US" w:eastAsia="zh-CN"/>
        </w:rPr>
      </w:pPr>
    </w:p>
    <w:p w14:paraId="436C6A2A">
      <w:pPr>
        <w:pStyle w:val="19"/>
        <w:numPr>
          <w:ilvl w:val="0"/>
          <w:numId w:val="0"/>
        </w:numPr>
        <w:bidi w:val="0"/>
        <w:ind w:left="420" w:leftChars="200"/>
        <w:jc w:val="center"/>
        <w:rPr>
          <w:rFonts w:hint="eastAsia"/>
          <w:lang w:eastAsia="zh-CN"/>
        </w:rPr>
      </w:pPr>
      <w:r>
        <w:rPr>
          <w:rFonts w:hint="eastAsia"/>
          <w:lang w:val="en-US" w:eastAsia="zh-CN"/>
        </w:rPr>
        <w:t>第三部分  新余市渝水区财政局（部门）2026年部门预算情况说明</w:t>
      </w:r>
    </w:p>
    <w:p w14:paraId="03B43ADB">
      <w:pPr>
        <w:widowControl/>
        <w:spacing w:line="580" w:lineRule="exact"/>
        <w:jc w:val="center"/>
        <w:rPr>
          <w:rFonts w:ascii="仿宋_GB2312" w:eastAsia="仿宋_GB2312"/>
          <w:b/>
          <w:sz w:val="32"/>
          <w:szCs w:val="30"/>
        </w:rPr>
      </w:pPr>
    </w:p>
    <w:p w14:paraId="43F5636A">
      <w:pPr>
        <w:pStyle w:val="19"/>
        <w:numPr>
          <w:ilvl w:val="0"/>
          <w:numId w:val="0"/>
        </w:numPr>
        <w:bidi w:val="0"/>
        <w:ind w:left="420" w:leftChars="200" w:firstLine="321" w:firstLineChars="100"/>
        <w:rPr>
          <w:rFonts w:ascii="楷体_GB2312" w:eastAsia="楷体_GB2312"/>
          <w:b/>
          <w:sz w:val="32"/>
          <w:szCs w:val="30"/>
        </w:rPr>
      </w:pPr>
      <w:r>
        <w:rPr>
          <w:rFonts w:hint="eastAsia" w:ascii="楷体_GB2312" w:eastAsia="楷体_GB2312"/>
          <w:b/>
          <w:sz w:val="32"/>
          <w:szCs w:val="30"/>
        </w:rPr>
        <w:t>一、</w:t>
      </w:r>
      <w:r>
        <w:rPr>
          <w:rFonts w:hint="eastAsia" w:ascii="楷体_GB2312" w:eastAsia="楷体_GB2312"/>
          <w:b/>
          <w:sz w:val="32"/>
          <w:szCs w:val="30"/>
          <w:lang w:eastAsia="zh-CN"/>
        </w:rPr>
        <w:t>2026</w:t>
      </w:r>
      <w:r>
        <w:rPr>
          <w:rFonts w:hint="eastAsia" w:ascii="楷体_GB2312" w:eastAsia="楷体_GB2312"/>
          <w:b/>
          <w:sz w:val="32"/>
          <w:szCs w:val="30"/>
        </w:rPr>
        <w:t>年部门预算收支情况说明</w:t>
      </w:r>
    </w:p>
    <w:p w14:paraId="2D20D411">
      <w:pPr>
        <w:pStyle w:val="20"/>
        <w:bidi w:val="0"/>
        <w:rPr>
          <w:rFonts w:hint="eastAsia"/>
          <w:b/>
          <w:bCs/>
          <w:lang w:eastAsia="zh-CN"/>
        </w:rPr>
      </w:pPr>
      <w:r>
        <w:rPr>
          <w:rFonts w:hint="eastAsia"/>
          <w:b/>
          <w:bCs/>
          <w:lang w:eastAsia="zh-CN"/>
        </w:rPr>
        <w:t>(一) 收入预算情况</w:t>
      </w:r>
    </w:p>
    <w:p w14:paraId="287D8F1D">
      <w:pPr>
        <w:pStyle w:val="20"/>
        <w:bidi w:val="0"/>
        <w:rPr>
          <w:rFonts w:hint="eastAsia"/>
          <w:lang w:eastAsia="zh-CN"/>
        </w:rPr>
      </w:pPr>
      <w:r>
        <w:rPr>
          <w:rFonts w:hint="eastAsia"/>
          <w:lang w:val="en-US" w:eastAsia="zh-CN"/>
        </w:rPr>
        <w:t>2026 年新余市渝水区财政局（部门）收入预算总额为 2036.12 万元，较上年预算安排增加 42.05万元；本年收入合计 2036.12 万元，较上年预算安排增加 42.05万元；包括：财政拨款收入 2036.12 万元，较上年预算安排增加 42.05万元，主要原因是根据人员工资标准调整、社保缴纳及正常业务发展需求，相应增加了人员经费及部分公用经费预算。本部门无教育收费资金收入、事业收入、事业单位经营收入、附属单位上缴收入、上级补助收入、其他收入，使用非财政拨款结余、上年结转（结余）均为 0.00 万元。</w:t>
      </w:r>
    </w:p>
    <w:p w14:paraId="0A26A303">
      <w:pPr>
        <w:pStyle w:val="20"/>
        <w:bidi w:val="0"/>
        <w:rPr>
          <w:rFonts w:hint="eastAsia"/>
          <w:b/>
          <w:bCs/>
          <w:lang w:eastAsia="zh-CN"/>
        </w:rPr>
      </w:pPr>
      <w:r>
        <w:rPr>
          <w:rFonts w:hint="eastAsia"/>
          <w:b/>
          <w:bCs/>
          <w:lang w:eastAsia="zh-CN"/>
        </w:rPr>
        <w:t>(二) 支出预算情况</w:t>
      </w:r>
    </w:p>
    <w:p w14:paraId="54228DB0">
      <w:pPr>
        <w:pStyle w:val="20"/>
        <w:bidi w:val="0"/>
        <w:rPr>
          <w:rFonts w:hint="eastAsia"/>
          <w:lang w:eastAsia="zh-CN"/>
        </w:rPr>
      </w:pPr>
      <w:r>
        <w:rPr>
          <w:rFonts w:hint="eastAsia"/>
          <w:lang w:val="en-US" w:eastAsia="zh-CN"/>
        </w:rPr>
        <w:t>2026 年新余市渝水区财政局（部门）支出预算总额为 2036.12 万元，较上年预算安排增加 42.05万元。</w:t>
      </w:r>
    </w:p>
    <w:p w14:paraId="1D2CD32D">
      <w:pPr>
        <w:pStyle w:val="20"/>
        <w:bidi w:val="0"/>
        <w:rPr>
          <w:rFonts w:hint="eastAsia"/>
          <w:lang w:eastAsia="zh-CN"/>
        </w:rPr>
      </w:pPr>
      <w:r>
        <w:rPr>
          <w:rFonts w:hint="eastAsia"/>
          <w:lang w:eastAsia="zh-CN"/>
        </w:rPr>
        <w:t>按支出项目类别划分：基本支出 1736.12 万元，较上年预算安排增加 42.05万元，占支出预算总额的 85.26%；项目支出 300.00 万元，较上年预算安排无变化，占支出预算总额的 14.74%，均为行政事业性项目支出，主要包括财政系统软件运维费、财政监督专项经费等。</w:t>
      </w:r>
    </w:p>
    <w:p w14:paraId="2F8BD066">
      <w:pPr>
        <w:pStyle w:val="20"/>
        <w:bidi w:val="0"/>
        <w:rPr>
          <w:rFonts w:hint="eastAsia"/>
          <w:lang w:eastAsia="zh-CN"/>
        </w:rPr>
      </w:pPr>
      <w:r>
        <w:rPr>
          <w:rFonts w:hint="eastAsia"/>
          <w:lang w:eastAsia="zh-CN"/>
        </w:rPr>
        <w:t>按支出功能科目划分：一般公共服务支出 1523.74 万元，较上年预算安排增加 42.05万元，占支出预算总额的 74.83%；社会保障和就业支出 368.36 万元，较上年预算安排无变化，占支出预算总额的 18.10%；卫生健康支出 69.45 万元，较上年预算安排无变化，占支出预算总额的 3.41%；住房保障支出 74.58 万元，较上年预算安排无变化，占支出预算总额的 3.66%。</w:t>
      </w:r>
    </w:p>
    <w:p w14:paraId="4644E33B">
      <w:pPr>
        <w:pStyle w:val="20"/>
        <w:bidi w:val="0"/>
        <w:rPr>
          <w:rFonts w:hint="eastAsia"/>
          <w:lang w:eastAsia="zh-CN"/>
        </w:rPr>
      </w:pPr>
      <w:r>
        <w:rPr>
          <w:rFonts w:hint="eastAsia"/>
          <w:lang w:eastAsia="zh-CN"/>
        </w:rPr>
        <w:t>按支出经济分类划分：工资福利支出 1476.39 万元，较上年预算安排增加 42.05万元，占支出预算总额的 72.51%；商品和服务支出116.49万元，较上年预算安排无变化，占支出预算总额的 5.72%（原文档 416.49 为笔误，予以修正）；对个人和家庭的补助 123.25 万元，较上年预算安排无变化，占支出预算总额的 6.05%；资本性支出 20.00 万元，较上年预算安排无变化，占支出预算总额的 0.98%。</w:t>
      </w:r>
    </w:p>
    <w:p w14:paraId="5C5F3CE8">
      <w:pPr>
        <w:pStyle w:val="20"/>
        <w:bidi w:val="0"/>
        <w:rPr>
          <w:rFonts w:hint="eastAsia"/>
          <w:b/>
          <w:bCs/>
          <w:lang w:eastAsia="zh-CN"/>
        </w:rPr>
      </w:pPr>
      <w:r>
        <w:rPr>
          <w:rFonts w:hint="eastAsia"/>
          <w:b/>
          <w:bCs/>
          <w:lang w:eastAsia="zh-CN"/>
        </w:rPr>
        <w:t>(三) 财政拨款支出情况</w:t>
      </w:r>
    </w:p>
    <w:p w14:paraId="47A79480">
      <w:pPr>
        <w:pStyle w:val="20"/>
        <w:bidi w:val="0"/>
        <w:rPr>
          <w:rFonts w:hint="eastAsia"/>
          <w:lang w:eastAsia="zh-CN"/>
        </w:rPr>
      </w:pPr>
      <w:r>
        <w:rPr>
          <w:rFonts w:hint="eastAsia"/>
          <w:lang w:val="en-US" w:eastAsia="zh-CN"/>
        </w:rPr>
        <w:t>2026 年新余市渝水区财政局（部门）财政拨款支出预算总额 2036.12 万元，较上年预算安排增加 42.05万元，原因是人员工资调整及业务发展需要，增加了相关经费预算。</w:t>
      </w:r>
    </w:p>
    <w:p w14:paraId="14068E67">
      <w:pPr>
        <w:pStyle w:val="20"/>
        <w:bidi w:val="0"/>
        <w:rPr>
          <w:rFonts w:hint="eastAsia"/>
          <w:lang w:eastAsia="zh-CN"/>
        </w:rPr>
      </w:pPr>
      <w:r>
        <w:rPr>
          <w:rFonts w:hint="eastAsia"/>
          <w:lang w:eastAsia="zh-CN"/>
        </w:rPr>
        <w:t>按支出功能科目划分：一般公共服务支出 1523.74 万元，社会保障和就业支出 368.36 万元，卫生健康支出 69.45 万元，住房保障支出 74.58 万元。</w:t>
      </w:r>
    </w:p>
    <w:p w14:paraId="26D0A461">
      <w:pPr>
        <w:pStyle w:val="20"/>
        <w:bidi w:val="0"/>
        <w:rPr>
          <w:rFonts w:hint="eastAsia"/>
          <w:lang w:eastAsia="zh-CN"/>
        </w:rPr>
      </w:pPr>
      <w:r>
        <w:rPr>
          <w:rFonts w:hint="eastAsia"/>
          <w:lang w:eastAsia="zh-CN"/>
        </w:rPr>
        <w:t>按支出项目类别划分：基本支出 1736.12 万元，项目支出 300.00 万元。</w:t>
      </w:r>
    </w:p>
    <w:p w14:paraId="66A51E7B">
      <w:pPr>
        <w:pStyle w:val="20"/>
        <w:bidi w:val="0"/>
        <w:rPr>
          <w:rFonts w:hint="eastAsia"/>
          <w:lang w:eastAsia="zh-CN"/>
        </w:rPr>
      </w:pPr>
      <w:r>
        <w:rPr>
          <w:rFonts w:hint="eastAsia"/>
          <w:lang w:eastAsia="zh-CN"/>
        </w:rPr>
        <w:t>按支出经济分类划分：工资福利支出 1476.39 万元，商品和服务支出 116.49 万元，对个人和家庭的补助 123.25 万元，资本性支出 20.00 万元。</w:t>
      </w:r>
    </w:p>
    <w:p w14:paraId="3C50A5F7">
      <w:pPr>
        <w:pStyle w:val="20"/>
        <w:bidi w:val="0"/>
        <w:rPr>
          <w:rFonts w:hint="eastAsia"/>
          <w:b/>
          <w:bCs/>
          <w:lang w:eastAsia="zh-CN"/>
        </w:rPr>
      </w:pPr>
      <w:r>
        <w:rPr>
          <w:rFonts w:hint="eastAsia"/>
          <w:b/>
          <w:bCs/>
          <w:lang w:eastAsia="zh-CN"/>
        </w:rPr>
        <w:t>(四) 政府性基金情况</w:t>
      </w:r>
    </w:p>
    <w:p w14:paraId="67E4817D">
      <w:pPr>
        <w:pStyle w:val="20"/>
        <w:bidi w:val="0"/>
        <w:rPr>
          <w:rFonts w:hint="eastAsia"/>
          <w:lang w:eastAsia="zh-CN"/>
        </w:rPr>
      </w:pPr>
      <w:r>
        <w:rPr>
          <w:rFonts w:hint="eastAsia"/>
          <w:lang w:val="en-US" w:eastAsia="zh-CN"/>
        </w:rPr>
        <w:t>2026 年新余市渝水区财政局（部门）政府性基金支出预算总额0.00万元，较上年预算安排无变化。本部门没有使用政府性基金预算拨款安排的支出。</w:t>
      </w:r>
    </w:p>
    <w:p w14:paraId="157A3051">
      <w:pPr>
        <w:pStyle w:val="20"/>
        <w:bidi w:val="0"/>
        <w:rPr>
          <w:rFonts w:hint="eastAsia"/>
          <w:b/>
          <w:bCs/>
          <w:lang w:eastAsia="zh-CN"/>
        </w:rPr>
      </w:pPr>
      <w:r>
        <w:rPr>
          <w:rFonts w:hint="eastAsia"/>
          <w:b/>
          <w:bCs/>
          <w:lang w:eastAsia="zh-CN"/>
        </w:rPr>
        <w:t>(五) 国有资本经营情况</w:t>
      </w:r>
    </w:p>
    <w:p w14:paraId="16F2D87D">
      <w:pPr>
        <w:pStyle w:val="20"/>
        <w:bidi w:val="0"/>
        <w:rPr>
          <w:rFonts w:hint="eastAsia"/>
          <w:lang w:eastAsia="zh-CN"/>
        </w:rPr>
      </w:pPr>
      <w:r>
        <w:rPr>
          <w:rFonts w:hint="eastAsia"/>
          <w:lang w:val="en-US" w:eastAsia="zh-CN"/>
        </w:rPr>
        <w:t>2026 年新余市渝水区财政局（部门）国有资本经营支出预算总额为0.00万元，较上年预算安排无变化。本部门没有使用国有资本经营预算拨款安排的支出。</w:t>
      </w:r>
    </w:p>
    <w:p w14:paraId="5D071076">
      <w:pPr>
        <w:pStyle w:val="20"/>
        <w:bidi w:val="0"/>
        <w:rPr>
          <w:rFonts w:hint="eastAsia"/>
          <w:b/>
          <w:bCs/>
          <w:lang w:eastAsia="zh-CN"/>
        </w:rPr>
      </w:pPr>
      <w:r>
        <w:rPr>
          <w:rFonts w:hint="eastAsia"/>
          <w:b/>
          <w:bCs/>
          <w:lang w:eastAsia="zh-CN"/>
        </w:rPr>
        <w:t>(六) 机关运行经费等重要事项的说明</w:t>
      </w:r>
    </w:p>
    <w:p w14:paraId="5D49FE87">
      <w:pPr>
        <w:pStyle w:val="20"/>
        <w:bidi w:val="0"/>
        <w:rPr>
          <w:rFonts w:hint="eastAsia"/>
          <w:lang w:eastAsia="zh-CN"/>
        </w:rPr>
      </w:pPr>
      <w:r>
        <w:rPr>
          <w:rFonts w:hint="eastAsia"/>
          <w:lang w:val="en-US" w:eastAsia="zh-CN"/>
        </w:rPr>
        <w:t>2026 年部门机关运行费预算136.49万元，比 2025 年预算减少 2.42万元，下降 1.74%。其中办公及印刷费 10.50 万元、邮电费 2.03 万元、差旅费 8.00 万元、会议费 0 万元、公务用车运行维护费 0 万元、维修（护）费 12.00 万元、培训费 3.00 万元、公务接待费 7.00 万元、工会经费 7.44 万元、其他交通费用 50.78 万元、水电费 12.50 万元、手续费 0.10 万元、劳务费 3.00 万元、其他商品和服务支出 0.13 万元、办公设备购置费 20 万元。减少原因是严格控制公用经费支出，优化支出结构，减少了部分非必要开支。</w:t>
      </w:r>
    </w:p>
    <w:p w14:paraId="369D94EA">
      <w:pPr>
        <w:pStyle w:val="20"/>
        <w:bidi w:val="0"/>
        <w:rPr>
          <w:rFonts w:hint="eastAsia"/>
          <w:b/>
          <w:bCs/>
          <w:lang w:eastAsia="zh-CN"/>
        </w:rPr>
      </w:pPr>
      <w:r>
        <w:rPr>
          <w:rFonts w:hint="eastAsia"/>
          <w:b/>
          <w:bCs/>
          <w:lang w:eastAsia="zh-CN"/>
        </w:rPr>
        <w:t>(七) 政府采购情况</w:t>
      </w:r>
    </w:p>
    <w:p w14:paraId="2797CB05">
      <w:pPr>
        <w:pStyle w:val="20"/>
        <w:bidi w:val="0"/>
        <w:rPr>
          <w:rFonts w:hint="eastAsia"/>
          <w:lang w:eastAsia="zh-CN"/>
        </w:rPr>
      </w:pPr>
      <w:r>
        <w:rPr>
          <w:rFonts w:hint="eastAsia"/>
          <w:lang w:val="en-US" w:eastAsia="zh-CN"/>
        </w:rPr>
        <w:t>2026 年部门所属各单位政府采购总额 20.00 万元，其中：政府采购货物预算 20.00 万元（主要用于办公设备购置）, 政府采购工程预算 0.00 万元，政府采购服务预算 0.00 万元。</w:t>
      </w:r>
    </w:p>
    <w:p w14:paraId="282794EC">
      <w:pPr>
        <w:pStyle w:val="20"/>
        <w:bidi w:val="0"/>
        <w:rPr>
          <w:rFonts w:hint="eastAsia"/>
          <w:b/>
          <w:bCs/>
          <w:lang w:eastAsia="zh-CN"/>
        </w:rPr>
      </w:pPr>
      <w:r>
        <w:rPr>
          <w:rFonts w:hint="eastAsia"/>
          <w:b/>
          <w:bCs/>
          <w:lang w:eastAsia="zh-CN"/>
        </w:rPr>
        <w:t>(八) 国有资产占有使用情况</w:t>
      </w:r>
    </w:p>
    <w:p w14:paraId="089F75D6">
      <w:pPr>
        <w:pStyle w:val="20"/>
        <w:bidi w:val="0"/>
        <w:rPr>
          <w:rFonts w:hint="eastAsia"/>
          <w:lang w:eastAsia="zh-CN"/>
        </w:rPr>
      </w:pPr>
      <w:r>
        <w:rPr>
          <w:rFonts w:hint="eastAsia"/>
          <w:lang w:val="en-US" w:eastAsia="zh-CN"/>
        </w:rPr>
        <w:t>截至 2025 年 7 月 31 日，部门共有车辆0辆，其中：一般公务用车实有数0辆。2026 年部门预算安排购置车辆0辆，安排购置单位价值 200 万元以上大型设备具体为：无。</w:t>
      </w:r>
    </w:p>
    <w:p w14:paraId="7416B039">
      <w:pPr>
        <w:pStyle w:val="21"/>
        <w:numPr>
          <w:ilvl w:val="0"/>
          <w:numId w:val="0"/>
        </w:numPr>
        <w:bidi w:val="0"/>
        <w:ind w:firstLine="643" w:firstLineChars="200"/>
        <w:rPr>
          <w:rFonts w:hint="eastAsia"/>
          <w:lang w:val="en-US" w:eastAsia="zh-CN"/>
        </w:rPr>
      </w:pPr>
      <w:r>
        <w:rPr>
          <w:rFonts w:hint="eastAsia"/>
          <w:lang w:val="en-US" w:eastAsia="zh-CN"/>
        </w:rPr>
        <w:t>(九）</w:t>
      </w:r>
      <w:r>
        <w:rPr>
          <w:rFonts w:hint="eastAsia" w:ascii="Adobe 仿宋 Std R" w:hAnsi="Adobe 仿宋 Std R" w:eastAsia="Adobe 仿宋 Std R"/>
          <w:sz w:val="32"/>
          <w:szCs w:val="32"/>
        </w:rPr>
        <w:t>财政系统软件运维费</w:t>
      </w:r>
      <w:r>
        <w:rPr>
          <w:rFonts w:hint="eastAsia" w:ascii="Adobe 仿宋 Std R" w:hAnsi="Adobe 仿宋 Std R" w:eastAsia="Adobe 仿宋 Std R"/>
          <w:sz w:val="32"/>
          <w:szCs w:val="32"/>
          <w:lang w:eastAsia="zh-CN"/>
        </w:rPr>
        <w:t>和</w:t>
      </w:r>
      <w:r>
        <w:rPr>
          <w:rFonts w:hint="eastAsia" w:ascii="Adobe 仿宋 Std R" w:hAnsi="Adobe 仿宋 Std R" w:eastAsia="Adobe 仿宋 Std R"/>
          <w:sz w:val="32"/>
          <w:szCs w:val="32"/>
        </w:rPr>
        <w:t>财政监督专项经费</w:t>
      </w:r>
      <w:r>
        <w:rPr>
          <w:rFonts w:hint="eastAsia"/>
          <w:lang w:val="en-US" w:eastAsia="zh-CN"/>
        </w:rPr>
        <w:t>情况说明</w:t>
      </w:r>
    </w:p>
    <w:p w14:paraId="5F3F332B">
      <w:pPr>
        <w:pStyle w:val="20"/>
        <w:bidi w:val="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 xml:space="preserve"> </w:t>
      </w:r>
      <w:r>
        <w:rPr>
          <w:rFonts w:hint="eastAsia" w:ascii="Adobe 仿宋 Std R" w:hAnsi="Adobe 仿宋 Std R" w:eastAsia="Adobe 仿宋 Std R"/>
          <w:sz w:val="32"/>
          <w:szCs w:val="32"/>
          <w:lang w:val="en-US" w:eastAsia="zh-CN"/>
        </w:rPr>
        <w:t>2026 年本部门共安排 2 个项目，涉及资金 300 万元，均为 50 万元以上且完成绩效评审的项目，具体如下：</w:t>
      </w:r>
    </w:p>
    <w:p w14:paraId="5FFC119D">
      <w:pPr>
        <w:pStyle w:val="20"/>
        <w:bidi w:val="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财政系统软件运维费（270 万元）</w:t>
      </w:r>
    </w:p>
    <w:p w14:paraId="15FFBE8F">
      <w:pPr>
        <w:pStyle w:val="20"/>
        <w:numPr>
          <w:ilvl w:val="0"/>
          <w:numId w:val="3"/>
        </w:numPr>
        <w:bidi w:val="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项目概述：保障全区财政业务系统正常运行，完成至少 6 套财政业务系统的运维、全区预算单位财务软件升级，实现财政业务顺畅开展。</w:t>
      </w:r>
    </w:p>
    <w:p w14:paraId="3AAD3B1E">
      <w:pPr>
        <w:pStyle w:val="20"/>
        <w:numPr>
          <w:ilvl w:val="0"/>
          <w:numId w:val="3"/>
        </w:numPr>
        <w:bidi w:val="0"/>
        <w:ind w:left="0" w:leftChars="0" w:firstLine="640" w:firstLineChars="20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立项依据：财政业务数字化、信息化发展需求，保障财政核心业务系统稳定运行的工作要求。</w:t>
      </w:r>
    </w:p>
    <w:p w14:paraId="50FDDAA2">
      <w:pPr>
        <w:pStyle w:val="20"/>
        <w:numPr>
          <w:ilvl w:val="0"/>
          <w:numId w:val="3"/>
        </w:numPr>
        <w:bidi w:val="0"/>
        <w:ind w:left="0" w:leftChars="0" w:firstLine="640" w:firstLineChars="20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实施主体：新余市渝水区财政局。</w:t>
      </w:r>
    </w:p>
    <w:p w14:paraId="3367129D">
      <w:pPr>
        <w:pStyle w:val="20"/>
        <w:numPr>
          <w:ilvl w:val="0"/>
          <w:numId w:val="3"/>
        </w:numPr>
        <w:bidi w:val="0"/>
        <w:ind w:left="0" w:leftChars="0" w:firstLine="640" w:firstLineChars="20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实施方案：通过专业运维服务，实现服务对象 100% 覆盖，故障 24 小时内恢复，确保系统响应及时率、正常运行率 100%。</w:t>
      </w:r>
    </w:p>
    <w:p w14:paraId="2EB6D441">
      <w:pPr>
        <w:pStyle w:val="20"/>
        <w:numPr>
          <w:ilvl w:val="0"/>
          <w:numId w:val="3"/>
        </w:numPr>
        <w:bidi w:val="0"/>
        <w:ind w:left="0" w:leftChars="0" w:firstLine="640" w:firstLineChars="20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实施周期：2026 年度。</w:t>
      </w:r>
    </w:p>
    <w:p w14:paraId="2A11C7AD">
      <w:pPr>
        <w:pStyle w:val="20"/>
        <w:numPr>
          <w:ilvl w:val="0"/>
          <w:numId w:val="3"/>
        </w:numPr>
        <w:bidi w:val="0"/>
        <w:ind w:left="0" w:leftChars="0" w:firstLine="640" w:firstLineChars="20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年度预算安排：270 万元。</w:t>
      </w:r>
    </w:p>
    <w:p w14:paraId="6F8C393D">
      <w:pPr>
        <w:pStyle w:val="20"/>
        <w:bidi w:val="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财政监督专项经费（30 万元）</w:t>
      </w:r>
    </w:p>
    <w:p w14:paraId="4F234B8D">
      <w:pPr>
        <w:pStyle w:val="20"/>
        <w:numPr>
          <w:ilvl w:val="0"/>
          <w:numId w:val="4"/>
        </w:numPr>
        <w:bidi w:val="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项目概述：开展财政监督检查及绩效评价工作，委托中介机构完成相关检查与评价，提升财政资金使用效率和财政管理效能。</w:t>
      </w:r>
    </w:p>
    <w:p w14:paraId="6EBB3179">
      <w:pPr>
        <w:pStyle w:val="20"/>
        <w:numPr>
          <w:ilvl w:val="0"/>
          <w:numId w:val="4"/>
        </w:numPr>
        <w:bidi w:val="0"/>
        <w:ind w:left="0" w:leftChars="0" w:firstLine="640" w:firstLineChars="20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立项依据：强化财政资金监管、规范财政收支行为、落实预算绩效管理的相关政策要求。</w:t>
      </w:r>
    </w:p>
    <w:p w14:paraId="58F84707">
      <w:pPr>
        <w:pStyle w:val="20"/>
        <w:numPr>
          <w:ilvl w:val="0"/>
          <w:numId w:val="4"/>
        </w:numPr>
        <w:bidi w:val="0"/>
        <w:ind w:left="0" w:leftChars="0" w:firstLine="640" w:firstLineChars="20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实施主体：新余市渝水区财政局。</w:t>
      </w:r>
    </w:p>
    <w:p w14:paraId="44F81697">
      <w:pPr>
        <w:pStyle w:val="20"/>
        <w:numPr>
          <w:ilvl w:val="0"/>
          <w:numId w:val="4"/>
        </w:numPr>
        <w:bidi w:val="0"/>
        <w:ind w:left="0" w:leftChars="0" w:firstLine="640" w:firstLineChars="20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实施方案：对至少 10 个单位开展财政监督检查，对不少于 10 个重大项目支出、约 10 个部门整体支出进行绩效评价，实现检查及评价结果 100% 应用，问题 100% 整改。</w:t>
      </w:r>
    </w:p>
    <w:p w14:paraId="366E6F87">
      <w:pPr>
        <w:pStyle w:val="20"/>
        <w:numPr>
          <w:ilvl w:val="0"/>
          <w:numId w:val="4"/>
        </w:numPr>
        <w:bidi w:val="0"/>
        <w:ind w:left="0" w:leftChars="0" w:firstLine="640" w:firstLineChars="20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实施周期：2026 年度。</w:t>
      </w:r>
    </w:p>
    <w:p w14:paraId="133B74AE">
      <w:pPr>
        <w:pStyle w:val="20"/>
        <w:numPr>
          <w:ilvl w:val="0"/>
          <w:numId w:val="4"/>
        </w:numPr>
        <w:bidi w:val="0"/>
        <w:ind w:left="0" w:leftChars="0" w:firstLine="640" w:firstLineChars="200"/>
        <w:rPr>
          <w:rFonts w:hint="eastAsia"/>
          <w:lang w:eastAsia="zh-CN"/>
        </w:rPr>
      </w:pPr>
      <w:r>
        <w:rPr>
          <w:rFonts w:hint="eastAsia" w:ascii="Adobe 仿宋 Std R" w:hAnsi="Adobe 仿宋 Std R" w:eastAsia="Adobe 仿宋 Std R"/>
          <w:sz w:val="32"/>
          <w:szCs w:val="32"/>
        </w:rPr>
        <w:t>年度预算安排：30 万元。</w:t>
      </w:r>
    </w:p>
    <w:p w14:paraId="432A2A66">
      <w:pPr>
        <w:pStyle w:val="19"/>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w:t>
      </w:r>
      <w:r>
        <w:rPr>
          <w:rFonts w:hint="eastAsia" w:ascii="楷体_GB2312" w:eastAsia="楷体_GB2312"/>
          <w:b/>
          <w:sz w:val="32"/>
          <w:szCs w:val="30"/>
          <w:lang w:eastAsia="zh-CN"/>
        </w:rPr>
        <w:t>2026</w:t>
      </w:r>
      <w:r>
        <w:rPr>
          <w:rFonts w:hint="eastAsia" w:ascii="楷体_GB2312" w:eastAsia="楷体_GB2312"/>
          <w:b/>
          <w:sz w:val="32"/>
          <w:szCs w:val="30"/>
        </w:rPr>
        <w:t>年财政拨款“三公”经费预算情况说明</w:t>
      </w:r>
    </w:p>
    <w:p w14:paraId="1FA5D30E">
      <w:pPr>
        <w:widowControl/>
        <w:spacing w:line="580" w:lineRule="exact"/>
        <w:ind w:firstLine="640"/>
        <w:jc w:val="left"/>
        <w:rPr>
          <w:rFonts w:hint="eastAsia" w:ascii="仿宋_GB2312" w:hAnsi="宋体" w:eastAsia="仿宋_GB2312"/>
          <w:sz w:val="32"/>
          <w:szCs w:val="30"/>
        </w:rPr>
      </w:pPr>
      <w:r>
        <w:rPr>
          <w:rFonts w:hint="eastAsia" w:ascii="仿宋_GB2312" w:hAnsi="宋体" w:eastAsia="仿宋_GB2312"/>
          <w:sz w:val="32"/>
          <w:szCs w:val="30"/>
        </w:rPr>
        <w:t>2026 年区财政局 “三公” 经费年初预算安排 7 万元。其中：</w:t>
      </w:r>
    </w:p>
    <w:p w14:paraId="5E647D16">
      <w:pPr>
        <w:widowControl/>
        <w:spacing w:line="580" w:lineRule="exact"/>
        <w:ind w:firstLine="640"/>
        <w:jc w:val="left"/>
        <w:rPr>
          <w:rFonts w:hint="eastAsia" w:ascii="仿宋_GB2312" w:hAnsi="宋体" w:eastAsia="仿宋_GB2312"/>
          <w:sz w:val="32"/>
          <w:szCs w:val="30"/>
        </w:rPr>
      </w:pPr>
      <w:r>
        <w:rPr>
          <w:rFonts w:hint="eastAsia" w:ascii="仿宋_GB2312" w:hAnsi="宋体" w:eastAsia="仿宋_GB2312"/>
          <w:sz w:val="32"/>
          <w:szCs w:val="30"/>
        </w:rPr>
        <w:t>因公出国（境）费：0 万元，与上年持平，主要原因是无因公出国（境）计划。</w:t>
      </w:r>
    </w:p>
    <w:p w14:paraId="18A0CFED">
      <w:pPr>
        <w:widowControl/>
        <w:spacing w:line="580" w:lineRule="exact"/>
        <w:ind w:firstLine="640"/>
        <w:jc w:val="left"/>
        <w:rPr>
          <w:rFonts w:hint="eastAsia" w:ascii="仿宋_GB2312" w:hAnsi="宋体" w:eastAsia="仿宋_GB2312"/>
          <w:sz w:val="32"/>
          <w:szCs w:val="30"/>
        </w:rPr>
      </w:pPr>
      <w:r>
        <w:rPr>
          <w:rFonts w:hint="eastAsia" w:ascii="仿宋_GB2312" w:hAnsi="宋体" w:eastAsia="仿宋_GB2312"/>
          <w:sz w:val="32"/>
          <w:szCs w:val="30"/>
        </w:rPr>
        <w:t>公务接待费：7 万元，较上年减少 2.78 万元，主要原因是进一步严格执行公务接待标准，严控接待次数和规模，压缩接待开支。</w:t>
      </w:r>
    </w:p>
    <w:p w14:paraId="685A1518">
      <w:pPr>
        <w:widowControl/>
        <w:spacing w:line="580" w:lineRule="exact"/>
        <w:ind w:firstLine="640"/>
        <w:jc w:val="left"/>
        <w:rPr>
          <w:rFonts w:hint="eastAsia" w:ascii="仿宋_GB2312" w:hAnsi="宋体" w:eastAsia="仿宋_GB2312"/>
          <w:sz w:val="32"/>
          <w:szCs w:val="30"/>
        </w:rPr>
      </w:pPr>
      <w:r>
        <w:rPr>
          <w:rFonts w:hint="eastAsia" w:ascii="仿宋_GB2312" w:hAnsi="宋体" w:eastAsia="仿宋_GB2312"/>
          <w:sz w:val="32"/>
          <w:szCs w:val="30"/>
        </w:rPr>
        <w:t>公务用车购置及运行经费：0 万元，与上年持平，主要原因是本单位没有公车。</w:t>
      </w:r>
    </w:p>
    <w:p w14:paraId="034987E6">
      <w:pPr>
        <w:widowControl/>
        <w:spacing w:line="580" w:lineRule="exact"/>
        <w:ind w:firstLine="640"/>
        <w:jc w:val="left"/>
        <w:rPr>
          <w:rFonts w:hint="eastAsia" w:ascii="仿宋_GB2312" w:hAnsi="宋体" w:eastAsia="仿宋_GB2312"/>
          <w:sz w:val="32"/>
          <w:szCs w:val="30"/>
        </w:rPr>
      </w:pPr>
    </w:p>
    <w:p w14:paraId="2F952EBB">
      <w:pPr>
        <w:rPr>
          <w:rStyle w:val="14"/>
          <w:rFonts w:hint="eastAsia" w:ascii="仿宋" w:hAnsi="仿宋" w:eastAsia="仿宋"/>
          <w:sz w:val="32"/>
          <w:szCs w:val="32"/>
        </w:rPr>
      </w:pPr>
      <w:r>
        <w:rPr>
          <w:rStyle w:val="14"/>
          <w:rFonts w:hint="eastAsia" w:ascii="仿宋" w:hAnsi="仿宋" w:eastAsia="仿宋"/>
          <w:sz w:val="32"/>
          <w:szCs w:val="32"/>
        </w:rPr>
        <w:br w:type="page"/>
      </w:r>
    </w:p>
    <w:p w14:paraId="650BFE64">
      <w:pPr>
        <w:pStyle w:val="19"/>
        <w:numPr>
          <w:ilvl w:val="0"/>
          <w:numId w:val="0"/>
        </w:numPr>
        <w:bidi w:val="0"/>
        <w:ind w:left="420" w:leftChars="200"/>
        <w:jc w:val="center"/>
        <w:rPr>
          <w:rFonts w:hint="eastAsia"/>
          <w:lang w:val="en-US" w:eastAsia="zh-CN"/>
        </w:rPr>
      </w:pPr>
      <w:r>
        <w:rPr>
          <w:rFonts w:hint="eastAsia"/>
          <w:lang w:val="en-US" w:eastAsia="zh-CN"/>
        </w:rPr>
        <w:t>第四部分   名词解释</w:t>
      </w:r>
    </w:p>
    <w:p w14:paraId="321AD3C8">
      <w:pPr>
        <w:pStyle w:val="19"/>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一、收入科目</w:t>
      </w:r>
    </w:p>
    <w:p w14:paraId="77A7EA63">
      <w:pPr>
        <w:pStyle w:val="20"/>
        <w:bidi w:val="0"/>
        <w:rPr>
          <w:rFonts w:hint="eastAsia"/>
          <w:lang w:eastAsia="zh-CN"/>
        </w:rPr>
      </w:pPr>
      <w:r>
        <w:rPr>
          <w:rFonts w:hint="eastAsia"/>
          <w:lang w:eastAsia="zh-CN"/>
        </w:rPr>
        <w:t>各部门结合实际进行解释。</w:t>
      </w:r>
    </w:p>
    <w:p w14:paraId="47AD5D9A">
      <w:pPr>
        <w:pStyle w:val="20"/>
        <w:bidi w:val="0"/>
        <w:rPr>
          <w:rFonts w:hint="eastAsia"/>
          <w:lang w:eastAsia="zh-CN"/>
        </w:rPr>
      </w:pPr>
      <w:r>
        <w:rPr>
          <w:rFonts w:hint="eastAsia"/>
          <w:lang w:eastAsia="zh-CN"/>
        </w:rPr>
        <w:t>（</w:t>
      </w:r>
      <w:r>
        <w:rPr>
          <w:rFonts w:hint="eastAsia"/>
          <w:lang w:val="en-US" w:eastAsia="zh-CN"/>
        </w:rPr>
        <w:t>一</w:t>
      </w:r>
      <w:r>
        <w:rPr>
          <w:rFonts w:hint="eastAsia"/>
          <w:lang w:eastAsia="zh-CN"/>
        </w:rPr>
        <w:t>）财政拨款：指省级财政当年拨付的资金。</w:t>
      </w:r>
    </w:p>
    <w:p w14:paraId="43C2913B">
      <w:pPr>
        <w:pStyle w:val="20"/>
        <w:bidi w:val="0"/>
        <w:rPr>
          <w:rFonts w:hint="eastAsia"/>
          <w:lang w:eastAsia="zh-CN"/>
        </w:rPr>
      </w:pPr>
      <w:r>
        <w:rPr>
          <w:rFonts w:hint="eastAsia"/>
          <w:lang w:eastAsia="zh-CN"/>
        </w:rPr>
        <w:t>（</w:t>
      </w:r>
      <w:r>
        <w:rPr>
          <w:rFonts w:hint="eastAsia"/>
          <w:lang w:val="en-US" w:eastAsia="zh-CN"/>
        </w:rPr>
        <w:t>二</w:t>
      </w:r>
      <w:r>
        <w:rPr>
          <w:rFonts w:hint="eastAsia"/>
          <w:lang w:eastAsia="zh-CN"/>
        </w:rPr>
        <w:t>）教育收费资金收入：指实行专项管理的高中以上学费、住宿费，高校委托培养费，函大、电大、夜大及短训班培训费等教育收费取得的收入。</w:t>
      </w:r>
    </w:p>
    <w:p w14:paraId="56DACCEB">
      <w:pPr>
        <w:pStyle w:val="20"/>
        <w:bidi w:val="0"/>
        <w:rPr>
          <w:rFonts w:hint="eastAsia"/>
          <w:lang w:eastAsia="zh-CN"/>
        </w:rPr>
      </w:pPr>
      <w:r>
        <w:rPr>
          <w:rFonts w:hint="eastAsia"/>
          <w:lang w:eastAsia="zh-CN"/>
        </w:rPr>
        <w:t>（三）事业收入：指事业单位开展专业业务活动及辅助活动取得的收入。</w:t>
      </w:r>
    </w:p>
    <w:p w14:paraId="20DC1B30">
      <w:pPr>
        <w:pStyle w:val="20"/>
        <w:bidi w:val="0"/>
        <w:rPr>
          <w:rFonts w:hint="eastAsia"/>
          <w:lang w:eastAsia="zh-CN"/>
        </w:rPr>
      </w:pPr>
      <w:r>
        <w:rPr>
          <w:rFonts w:hint="eastAsia"/>
          <w:lang w:eastAsia="zh-CN"/>
        </w:rPr>
        <w:t>（四）事业单位经营收入：指事业单位在专业业务活动及辅助活动之外开展非独立核算经营活动取得的收入。</w:t>
      </w:r>
    </w:p>
    <w:p w14:paraId="2DFBE911">
      <w:pPr>
        <w:pStyle w:val="20"/>
        <w:bidi w:val="0"/>
        <w:rPr>
          <w:rFonts w:hint="eastAsia"/>
          <w:lang w:eastAsia="zh-CN"/>
        </w:rPr>
      </w:pPr>
      <w:r>
        <w:rPr>
          <w:rFonts w:hint="eastAsia"/>
          <w:lang w:eastAsia="zh-CN"/>
        </w:rPr>
        <w:t>（五）附属单位上缴收入：指事业单位附属的独立核算单位按规定标准或比例缴纳的各项收入。包括附属的事业单位上缴的收入和附属的企业上缴的利润等。</w:t>
      </w:r>
    </w:p>
    <w:p w14:paraId="27A69115">
      <w:pPr>
        <w:pStyle w:val="20"/>
        <w:bidi w:val="0"/>
        <w:rPr>
          <w:rFonts w:hint="eastAsia"/>
          <w:lang w:eastAsia="zh-CN"/>
        </w:rPr>
      </w:pPr>
      <w:r>
        <w:rPr>
          <w:rFonts w:hint="eastAsia"/>
          <w:lang w:eastAsia="zh-CN"/>
        </w:rPr>
        <w:t>（六）上级补助收入：指事业单位从主管部门和上级单位取得的非财政补助收入。</w:t>
      </w:r>
    </w:p>
    <w:p w14:paraId="7B7F204C">
      <w:pPr>
        <w:pStyle w:val="20"/>
        <w:bidi w:val="0"/>
        <w:rPr>
          <w:rFonts w:hint="eastAsia"/>
          <w:lang w:eastAsia="zh-CN"/>
        </w:rPr>
      </w:pPr>
      <w:r>
        <w:rPr>
          <w:rFonts w:hint="eastAsia"/>
          <w:lang w:eastAsia="zh-CN"/>
        </w:rPr>
        <w:t>（七）其他收入：指除财政拨款、事业收入、事业单位经营收入等以外的各项收入。</w:t>
      </w:r>
    </w:p>
    <w:p w14:paraId="01C1A7C3">
      <w:pPr>
        <w:pStyle w:val="20"/>
        <w:bidi w:val="0"/>
        <w:rPr>
          <w:rFonts w:hint="eastAsia"/>
          <w:lang w:eastAsia="zh-CN"/>
        </w:rPr>
      </w:pPr>
      <w:r>
        <w:rPr>
          <w:rFonts w:hint="eastAsia"/>
          <w:lang w:eastAsia="zh-CN"/>
        </w:rPr>
        <w:t>（八）使用非财政拨款结余：指历年滚存非限定用途的非财政拨款结余弥补本年度收支差额的数额。</w:t>
      </w:r>
    </w:p>
    <w:p w14:paraId="0C5E3E2F">
      <w:pPr>
        <w:pStyle w:val="20"/>
        <w:bidi w:val="0"/>
        <w:rPr>
          <w:rFonts w:hint="eastAsia"/>
          <w:lang w:eastAsia="zh-CN"/>
        </w:rPr>
      </w:pPr>
      <w:r>
        <w:rPr>
          <w:rFonts w:hint="eastAsia"/>
          <w:lang w:eastAsia="zh-CN"/>
        </w:rPr>
        <w:t>（九）上年结转和结余：指以前年度全部结转和结余的资金数，包括当年结转结余资金和历年滚存结转结余资金。</w:t>
      </w:r>
    </w:p>
    <w:p w14:paraId="71F9DAAA">
      <w:pPr>
        <w:ind w:firstLine="640" w:firstLineChars="200"/>
        <w:rPr>
          <w:rFonts w:ascii="Adobe 仿宋 Std R" w:hAnsi="Adobe 仿宋 Std R" w:eastAsia="Adobe 仿宋 Std R"/>
          <w:sz w:val="32"/>
          <w:szCs w:val="32"/>
        </w:rPr>
      </w:pPr>
    </w:p>
    <w:p w14:paraId="395C2B1B">
      <w:pPr>
        <w:pStyle w:val="19"/>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二、支出科目</w:t>
      </w:r>
    </w:p>
    <w:p w14:paraId="0D4D635A">
      <w:pPr>
        <w:pStyle w:val="20"/>
        <w:bidi w:val="0"/>
        <w:rPr>
          <w:rFonts w:hint="eastAsia"/>
          <w:lang w:eastAsia="zh-CN"/>
        </w:rPr>
      </w:pPr>
      <w:r>
        <w:rPr>
          <w:rFonts w:hint="eastAsia"/>
          <w:lang w:eastAsia="zh-CN"/>
        </w:rPr>
        <w:t>对部门预算中涉及的支出功能分类科目（明细到项级），结合部门实际，参照《2026年政府收支分类科目》的规范说明进行解释。</w:t>
      </w:r>
    </w:p>
    <w:p w14:paraId="2C960293">
      <w:pPr>
        <w:widowControl/>
        <w:spacing w:line="600" w:lineRule="exact"/>
        <w:ind w:firstLine="640" w:firstLineChars="200"/>
        <w:jc w:val="left"/>
        <w:rPr>
          <w:rFonts w:ascii="仿宋_GB2312" w:eastAsia="仿宋_GB2312"/>
          <w:color w:val="000000"/>
          <w:sz w:val="32"/>
          <w:szCs w:val="30"/>
        </w:rPr>
      </w:pPr>
    </w:p>
    <w:p w14:paraId="37AD4C10">
      <w:pPr>
        <w:pStyle w:val="19"/>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三、相关专业名词</w:t>
      </w:r>
    </w:p>
    <w:p w14:paraId="63C7601B">
      <w:pPr>
        <w:pStyle w:val="20"/>
        <w:bidi w:val="0"/>
        <w:ind w:left="0" w:leftChars="0" w:firstLine="640" w:firstLineChars="200"/>
        <w:rPr>
          <w:rFonts w:hint="eastAsia"/>
          <w:lang w:eastAsia="zh-CN"/>
        </w:rPr>
      </w:pPr>
      <w:r>
        <w:rPr>
          <w:rFonts w:hint="eastAsia"/>
          <w:lang w:eastAsia="zh-CN"/>
        </w:rPr>
        <w:t>（一）机关运行费：指用一般公共预算财政拨款安排的为保障行政单位（包括实行公务员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14:paraId="11D6F779">
      <w:pPr>
        <w:pStyle w:val="20"/>
        <w:bidi w:val="0"/>
        <w:rPr>
          <w:rFonts w:hint="eastAsia"/>
          <w:lang w:eastAsia="zh-CN"/>
        </w:rPr>
      </w:pPr>
      <w:r>
        <w:rPr>
          <w:rFonts w:hint="eastAsia"/>
          <w:lang w:eastAsia="zh-CN"/>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新能源汽车充电费、维修费、过桥过路费、保险费、安全奖励费 用等支出；公务接待费反映单位按规定开支的各类公务接待（含外宾接待）支出。</w:t>
      </w: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font>
  <w:font w:name="思源黑体">
    <w:altName w:val="黑体"/>
    <w:panose1 w:val="00000000000000000000"/>
    <w:charset w:val="00"/>
    <w:family w:val="auto"/>
    <w:pitch w:val="default"/>
    <w:sig w:usb0="00000000" w:usb1="00000000" w:usb2="00000000" w:usb3="00000000" w:csb0="00000000" w:csb1="00000000"/>
  </w:font>
  <w:font w:name="Adobe 仿宋 Std R">
    <w:altName w:val="仿宋"/>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39567">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20ADB"/>
    <w:multiLevelType w:val="singleLevel"/>
    <w:tmpl w:val="CF020ADB"/>
    <w:lvl w:ilvl="0" w:tentative="0">
      <w:start w:val="1"/>
      <w:numFmt w:val="decimal"/>
      <w:suff w:val="nothing"/>
      <w:lvlText w:val="%1）"/>
      <w:lvlJc w:val="left"/>
    </w:lvl>
  </w:abstractNum>
  <w:abstractNum w:abstractNumId="1">
    <w:nsid w:val="0C7D1273"/>
    <w:multiLevelType w:val="singleLevel"/>
    <w:tmpl w:val="0C7D1273"/>
    <w:lvl w:ilvl="0" w:tentative="0">
      <w:start w:val="1"/>
      <w:numFmt w:val="chineseCounting"/>
      <w:pStyle w:val="19"/>
      <w:suff w:val="nothing"/>
      <w:lvlText w:val="%1、"/>
      <w:lvlJc w:val="left"/>
      <w:pPr>
        <w:ind w:left="0" w:firstLine="420"/>
      </w:pPr>
      <w:rPr>
        <w:rFonts w:hint="eastAsia"/>
      </w:rPr>
    </w:lvl>
  </w:abstractNum>
  <w:abstractNum w:abstractNumId="2">
    <w:nsid w:val="3D6D7CA3"/>
    <w:multiLevelType w:val="singleLevel"/>
    <w:tmpl w:val="3D6D7CA3"/>
    <w:lvl w:ilvl="0" w:tentative="0">
      <w:start w:val="1"/>
      <w:numFmt w:val="decimal"/>
      <w:suff w:val="nothing"/>
      <w:lvlText w:val="%1）"/>
      <w:lvlJc w:val="left"/>
    </w:lvl>
  </w:abstractNum>
  <w:abstractNum w:abstractNumId="3">
    <w:nsid w:val="79F6942D"/>
    <w:multiLevelType w:val="singleLevel"/>
    <w:tmpl w:val="79F6942D"/>
    <w:lvl w:ilvl="0" w:tentative="0">
      <w:start w:val="1"/>
      <w:numFmt w:val="chineseCounting"/>
      <w:pStyle w:val="21"/>
      <w:suff w:val="nothing"/>
      <w:lvlText w:val="（%1）"/>
      <w:lvlJc w:val="left"/>
      <w:pPr>
        <w:ind w:left="0" w:firstLine="420"/>
      </w:pPr>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RjYzY5ZmMwZWEzMzQxOWIwM2QyODc3MDk3NDFhOWMifQ=="/>
  </w:docVars>
  <w:rsids>
    <w:rsidRoot w:val="00172A27"/>
    <w:rsid w:val="000001B2"/>
    <w:rsid w:val="00014049"/>
    <w:rsid w:val="0001648A"/>
    <w:rsid w:val="00022CB3"/>
    <w:rsid w:val="00031749"/>
    <w:rsid w:val="00041EAA"/>
    <w:rsid w:val="000501C3"/>
    <w:rsid w:val="00055F20"/>
    <w:rsid w:val="000630BE"/>
    <w:rsid w:val="0006515E"/>
    <w:rsid w:val="00083979"/>
    <w:rsid w:val="00085227"/>
    <w:rsid w:val="000927A9"/>
    <w:rsid w:val="000963CD"/>
    <w:rsid w:val="000A2066"/>
    <w:rsid w:val="000B313A"/>
    <w:rsid w:val="000B4F9E"/>
    <w:rsid w:val="000C6AF7"/>
    <w:rsid w:val="000E1BC2"/>
    <w:rsid w:val="000E6313"/>
    <w:rsid w:val="000F227D"/>
    <w:rsid w:val="000F2E5F"/>
    <w:rsid w:val="00104F58"/>
    <w:rsid w:val="00117D8C"/>
    <w:rsid w:val="00131F78"/>
    <w:rsid w:val="001570FF"/>
    <w:rsid w:val="001823EA"/>
    <w:rsid w:val="00186709"/>
    <w:rsid w:val="00192620"/>
    <w:rsid w:val="00193C37"/>
    <w:rsid w:val="001C4ED5"/>
    <w:rsid w:val="001C6F31"/>
    <w:rsid w:val="001D2644"/>
    <w:rsid w:val="001E0EE7"/>
    <w:rsid w:val="001E2A0C"/>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0EDF"/>
    <w:rsid w:val="002C2478"/>
    <w:rsid w:val="002D2681"/>
    <w:rsid w:val="002D418E"/>
    <w:rsid w:val="002D497C"/>
    <w:rsid w:val="002D7200"/>
    <w:rsid w:val="002E2578"/>
    <w:rsid w:val="0030186C"/>
    <w:rsid w:val="003057A1"/>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378E3"/>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279D2"/>
    <w:rsid w:val="00631E83"/>
    <w:rsid w:val="00631FA4"/>
    <w:rsid w:val="00650900"/>
    <w:rsid w:val="00655E8B"/>
    <w:rsid w:val="00660CC3"/>
    <w:rsid w:val="006740FD"/>
    <w:rsid w:val="006833F4"/>
    <w:rsid w:val="006835C9"/>
    <w:rsid w:val="00687B67"/>
    <w:rsid w:val="006918B8"/>
    <w:rsid w:val="006924DA"/>
    <w:rsid w:val="00696646"/>
    <w:rsid w:val="006A1709"/>
    <w:rsid w:val="006C08EA"/>
    <w:rsid w:val="006C185B"/>
    <w:rsid w:val="006C3868"/>
    <w:rsid w:val="006F20BD"/>
    <w:rsid w:val="006F69AF"/>
    <w:rsid w:val="00704CAB"/>
    <w:rsid w:val="007314A1"/>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72CE4"/>
    <w:rsid w:val="00875B04"/>
    <w:rsid w:val="00876D17"/>
    <w:rsid w:val="008827CA"/>
    <w:rsid w:val="00882C91"/>
    <w:rsid w:val="00884FAE"/>
    <w:rsid w:val="008979F6"/>
    <w:rsid w:val="00897CAC"/>
    <w:rsid w:val="008A2491"/>
    <w:rsid w:val="008B52E8"/>
    <w:rsid w:val="008C011F"/>
    <w:rsid w:val="008C01B1"/>
    <w:rsid w:val="008C6EEE"/>
    <w:rsid w:val="008D4367"/>
    <w:rsid w:val="008E1EFA"/>
    <w:rsid w:val="008F16EE"/>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9F7630"/>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51022"/>
    <w:rsid w:val="00B619F8"/>
    <w:rsid w:val="00B6242B"/>
    <w:rsid w:val="00B71EBE"/>
    <w:rsid w:val="00B82840"/>
    <w:rsid w:val="00B96CEB"/>
    <w:rsid w:val="00BA572C"/>
    <w:rsid w:val="00BA7CA7"/>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CF5160"/>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13A1"/>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D12A9"/>
    <w:rsid w:val="00EE5DE1"/>
    <w:rsid w:val="00EE6568"/>
    <w:rsid w:val="00F01B58"/>
    <w:rsid w:val="00F11FE4"/>
    <w:rsid w:val="00F132AE"/>
    <w:rsid w:val="00F2583E"/>
    <w:rsid w:val="00F32E83"/>
    <w:rsid w:val="00F823EA"/>
    <w:rsid w:val="00F95E5A"/>
    <w:rsid w:val="00F975EB"/>
    <w:rsid w:val="00F97EF1"/>
    <w:rsid w:val="00FA278B"/>
    <w:rsid w:val="00FA354D"/>
    <w:rsid w:val="00FA3B89"/>
    <w:rsid w:val="00FD29E0"/>
    <w:rsid w:val="00FE0E90"/>
    <w:rsid w:val="00FE32CC"/>
    <w:rsid w:val="00FE7CCF"/>
    <w:rsid w:val="00FF60EC"/>
    <w:rsid w:val="00FF6368"/>
    <w:rsid w:val="01671BDD"/>
    <w:rsid w:val="01861103"/>
    <w:rsid w:val="019127B6"/>
    <w:rsid w:val="01AC3A93"/>
    <w:rsid w:val="01EF572E"/>
    <w:rsid w:val="020411DA"/>
    <w:rsid w:val="02176B4D"/>
    <w:rsid w:val="0288005D"/>
    <w:rsid w:val="02C06A14"/>
    <w:rsid w:val="02F05C02"/>
    <w:rsid w:val="0313418A"/>
    <w:rsid w:val="03183089"/>
    <w:rsid w:val="033409AD"/>
    <w:rsid w:val="036543A8"/>
    <w:rsid w:val="03713379"/>
    <w:rsid w:val="03A26EFC"/>
    <w:rsid w:val="03C54F15"/>
    <w:rsid w:val="044C3E08"/>
    <w:rsid w:val="048760F2"/>
    <w:rsid w:val="04AB0032"/>
    <w:rsid w:val="04D1736D"/>
    <w:rsid w:val="0548762F"/>
    <w:rsid w:val="056335EC"/>
    <w:rsid w:val="058E403A"/>
    <w:rsid w:val="05A96FBC"/>
    <w:rsid w:val="067A6028"/>
    <w:rsid w:val="069027A8"/>
    <w:rsid w:val="06BE4E5C"/>
    <w:rsid w:val="06D10F0F"/>
    <w:rsid w:val="06EB090E"/>
    <w:rsid w:val="070F6488"/>
    <w:rsid w:val="072E0AA7"/>
    <w:rsid w:val="07493DE4"/>
    <w:rsid w:val="076646E5"/>
    <w:rsid w:val="07944DAE"/>
    <w:rsid w:val="07DA39BA"/>
    <w:rsid w:val="07FD6DF7"/>
    <w:rsid w:val="089B644D"/>
    <w:rsid w:val="08AA6372"/>
    <w:rsid w:val="0957140D"/>
    <w:rsid w:val="097430E9"/>
    <w:rsid w:val="09813405"/>
    <w:rsid w:val="098466E2"/>
    <w:rsid w:val="099A2423"/>
    <w:rsid w:val="09C63CB7"/>
    <w:rsid w:val="0A1A2AD5"/>
    <w:rsid w:val="0A3B59B5"/>
    <w:rsid w:val="0A522CFE"/>
    <w:rsid w:val="0A603A28"/>
    <w:rsid w:val="0A7E3AF3"/>
    <w:rsid w:val="0B2E6C33"/>
    <w:rsid w:val="0B471443"/>
    <w:rsid w:val="0B582596"/>
    <w:rsid w:val="0B776EC0"/>
    <w:rsid w:val="0BD22464"/>
    <w:rsid w:val="0C0F6191"/>
    <w:rsid w:val="0C210BDA"/>
    <w:rsid w:val="0C22507E"/>
    <w:rsid w:val="0C234952"/>
    <w:rsid w:val="0C97247A"/>
    <w:rsid w:val="0CE40340"/>
    <w:rsid w:val="0D1D3A97"/>
    <w:rsid w:val="0D7F0935"/>
    <w:rsid w:val="0D906017"/>
    <w:rsid w:val="0DB3098E"/>
    <w:rsid w:val="0DC46BAD"/>
    <w:rsid w:val="0E4868F2"/>
    <w:rsid w:val="0EC56195"/>
    <w:rsid w:val="0ED334BB"/>
    <w:rsid w:val="0EED77D1"/>
    <w:rsid w:val="0EFE5F92"/>
    <w:rsid w:val="0F2509E1"/>
    <w:rsid w:val="0F77472F"/>
    <w:rsid w:val="0FA364D6"/>
    <w:rsid w:val="0FFC5BE6"/>
    <w:rsid w:val="10374E70"/>
    <w:rsid w:val="1042584C"/>
    <w:rsid w:val="10C76C75"/>
    <w:rsid w:val="10EC7A09"/>
    <w:rsid w:val="118C7F17"/>
    <w:rsid w:val="11A83289"/>
    <w:rsid w:val="11BA18B5"/>
    <w:rsid w:val="12AB25F0"/>
    <w:rsid w:val="12C66037"/>
    <w:rsid w:val="12D71EE1"/>
    <w:rsid w:val="13024677"/>
    <w:rsid w:val="132316DC"/>
    <w:rsid w:val="13257202"/>
    <w:rsid w:val="137A24B0"/>
    <w:rsid w:val="146A26EA"/>
    <w:rsid w:val="14972381"/>
    <w:rsid w:val="14DB226E"/>
    <w:rsid w:val="15F1786F"/>
    <w:rsid w:val="161C45A6"/>
    <w:rsid w:val="163E20B5"/>
    <w:rsid w:val="167909DF"/>
    <w:rsid w:val="16790A4B"/>
    <w:rsid w:val="16A62BCA"/>
    <w:rsid w:val="16B57185"/>
    <w:rsid w:val="16D72F09"/>
    <w:rsid w:val="16D73651"/>
    <w:rsid w:val="17201A96"/>
    <w:rsid w:val="175943AB"/>
    <w:rsid w:val="177B5642"/>
    <w:rsid w:val="183121A5"/>
    <w:rsid w:val="183D4FEE"/>
    <w:rsid w:val="187973A6"/>
    <w:rsid w:val="189E6FE8"/>
    <w:rsid w:val="18D62220"/>
    <w:rsid w:val="190A1374"/>
    <w:rsid w:val="1911314F"/>
    <w:rsid w:val="192341E3"/>
    <w:rsid w:val="19264D41"/>
    <w:rsid w:val="195E521C"/>
    <w:rsid w:val="198B71A1"/>
    <w:rsid w:val="19B228EF"/>
    <w:rsid w:val="19B72B7E"/>
    <w:rsid w:val="19BE5CBA"/>
    <w:rsid w:val="19DD5162"/>
    <w:rsid w:val="19F65454"/>
    <w:rsid w:val="1A9E7E47"/>
    <w:rsid w:val="1AAC4E51"/>
    <w:rsid w:val="1B106CD9"/>
    <w:rsid w:val="1B1E744F"/>
    <w:rsid w:val="1B477CB6"/>
    <w:rsid w:val="1B513369"/>
    <w:rsid w:val="1B5543FC"/>
    <w:rsid w:val="1B9273FE"/>
    <w:rsid w:val="1D022362"/>
    <w:rsid w:val="1D156539"/>
    <w:rsid w:val="1D2E3157"/>
    <w:rsid w:val="1D683EAA"/>
    <w:rsid w:val="1D743E4F"/>
    <w:rsid w:val="1DC43CB7"/>
    <w:rsid w:val="1DE62972"/>
    <w:rsid w:val="1DED3012"/>
    <w:rsid w:val="1E002D45"/>
    <w:rsid w:val="1E332A67"/>
    <w:rsid w:val="1E58312C"/>
    <w:rsid w:val="1E5B2F38"/>
    <w:rsid w:val="1E74728F"/>
    <w:rsid w:val="1EAB2010"/>
    <w:rsid w:val="1EC370BA"/>
    <w:rsid w:val="1ED32208"/>
    <w:rsid w:val="1EDD4E34"/>
    <w:rsid w:val="1EDF4DDA"/>
    <w:rsid w:val="1F240CB5"/>
    <w:rsid w:val="1F647304"/>
    <w:rsid w:val="1FF163B0"/>
    <w:rsid w:val="206D0602"/>
    <w:rsid w:val="20757BCC"/>
    <w:rsid w:val="208D0D40"/>
    <w:rsid w:val="212A1E87"/>
    <w:rsid w:val="218C669E"/>
    <w:rsid w:val="21C916A0"/>
    <w:rsid w:val="221F7512"/>
    <w:rsid w:val="22421D13"/>
    <w:rsid w:val="22430342"/>
    <w:rsid w:val="22601146"/>
    <w:rsid w:val="226F2247"/>
    <w:rsid w:val="22A5210D"/>
    <w:rsid w:val="22BD518D"/>
    <w:rsid w:val="230518A8"/>
    <w:rsid w:val="23F95523"/>
    <w:rsid w:val="2418246B"/>
    <w:rsid w:val="24407927"/>
    <w:rsid w:val="248511A6"/>
    <w:rsid w:val="2584425C"/>
    <w:rsid w:val="25B931E9"/>
    <w:rsid w:val="25CE54D7"/>
    <w:rsid w:val="25F4209D"/>
    <w:rsid w:val="265579A6"/>
    <w:rsid w:val="267A7ED7"/>
    <w:rsid w:val="267B565F"/>
    <w:rsid w:val="26BE72FA"/>
    <w:rsid w:val="26CB02AF"/>
    <w:rsid w:val="26FE5E6C"/>
    <w:rsid w:val="27DA63B5"/>
    <w:rsid w:val="27E234BC"/>
    <w:rsid w:val="27EE6A79"/>
    <w:rsid w:val="28020B08"/>
    <w:rsid w:val="2828673B"/>
    <w:rsid w:val="28F31C90"/>
    <w:rsid w:val="291678C1"/>
    <w:rsid w:val="29415831"/>
    <w:rsid w:val="295B01BA"/>
    <w:rsid w:val="29804E7F"/>
    <w:rsid w:val="299A22A0"/>
    <w:rsid w:val="299B130F"/>
    <w:rsid w:val="29A22F02"/>
    <w:rsid w:val="29D357B2"/>
    <w:rsid w:val="29F545C8"/>
    <w:rsid w:val="2A3B60E3"/>
    <w:rsid w:val="2A6B66A5"/>
    <w:rsid w:val="2A8962DA"/>
    <w:rsid w:val="2A9E289C"/>
    <w:rsid w:val="2AD4533E"/>
    <w:rsid w:val="2B5E72FD"/>
    <w:rsid w:val="2B6A1B7F"/>
    <w:rsid w:val="2B7D1E25"/>
    <w:rsid w:val="2B82123D"/>
    <w:rsid w:val="2BE124D6"/>
    <w:rsid w:val="2C245EB1"/>
    <w:rsid w:val="2C2D2A07"/>
    <w:rsid w:val="2C532DA0"/>
    <w:rsid w:val="2C57797E"/>
    <w:rsid w:val="2CA86A82"/>
    <w:rsid w:val="2CB371D5"/>
    <w:rsid w:val="2CBC42DB"/>
    <w:rsid w:val="2D0D5D1F"/>
    <w:rsid w:val="2D12214D"/>
    <w:rsid w:val="2D5E2035"/>
    <w:rsid w:val="2D864873"/>
    <w:rsid w:val="2DA96B06"/>
    <w:rsid w:val="2E051E23"/>
    <w:rsid w:val="2ED008F1"/>
    <w:rsid w:val="2EE1627B"/>
    <w:rsid w:val="2F221578"/>
    <w:rsid w:val="2F3276C7"/>
    <w:rsid w:val="2F656EAC"/>
    <w:rsid w:val="2F875DDB"/>
    <w:rsid w:val="30007685"/>
    <w:rsid w:val="300F4902"/>
    <w:rsid w:val="303A64D0"/>
    <w:rsid w:val="303B4255"/>
    <w:rsid w:val="30427C69"/>
    <w:rsid w:val="30A0509E"/>
    <w:rsid w:val="30D065A7"/>
    <w:rsid w:val="311B06F3"/>
    <w:rsid w:val="31480833"/>
    <w:rsid w:val="317909ED"/>
    <w:rsid w:val="31D10739"/>
    <w:rsid w:val="31E5110E"/>
    <w:rsid w:val="31FA476A"/>
    <w:rsid w:val="32101599"/>
    <w:rsid w:val="3240775C"/>
    <w:rsid w:val="32827D75"/>
    <w:rsid w:val="32C510AF"/>
    <w:rsid w:val="32D911D9"/>
    <w:rsid w:val="33207934"/>
    <w:rsid w:val="3328400E"/>
    <w:rsid w:val="339B7340"/>
    <w:rsid w:val="33B273BE"/>
    <w:rsid w:val="33D60378"/>
    <w:rsid w:val="33EB1F16"/>
    <w:rsid w:val="34024CC3"/>
    <w:rsid w:val="346F257B"/>
    <w:rsid w:val="34967B08"/>
    <w:rsid w:val="349A316D"/>
    <w:rsid w:val="34B57D75"/>
    <w:rsid w:val="34B63D06"/>
    <w:rsid w:val="34F95019"/>
    <w:rsid w:val="35123632"/>
    <w:rsid w:val="35132F06"/>
    <w:rsid w:val="35192EC2"/>
    <w:rsid w:val="35306BDB"/>
    <w:rsid w:val="354E3F3E"/>
    <w:rsid w:val="359B22B4"/>
    <w:rsid w:val="35C66E2C"/>
    <w:rsid w:val="35E11256"/>
    <w:rsid w:val="35E83F05"/>
    <w:rsid w:val="35FF348B"/>
    <w:rsid w:val="36015455"/>
    <w:rsid w:val="363E00C4"/>
    <w:rsid w:val="369B31B3"/>
    <w:rsid w:val="36C95F72"/>
    <w:rsid w:val="371F5B92"/>
    <w:rsid w:val="375717D0"/>
    <w:rsid w:val="37692CB0"/>
    <w:rsid w:val="37773C20"/>
    <w:rsid w:val="377E2B92"/>
    <w:rsid w:val="37F44BF3"/>
    <w:rsid w:val="38FD49CD"/>
    <w:rsid w:val="39363AEB"/>
    <w:rsid w:val="397330FD"/>
    <w:rsid w:val="39827A59"/>
    <w:rsid w:val="39932267"/>
    <w:rsid w:val="399D4784"/>
    <w:rsid w:val="399F2FBB"/>
    <w:rsid w:val="39B20F40"/>
    <w:rsid w:val="39ED7FCB"/>
    <w:rsid w:val="39F647B9"/>
    <w:rsid w:val="3A811F62"/>
    <w:rsid w:val="3A841EE9"/>
    <w:rsid w:val="3A8D375B"/>
    <w:rsid w:val="3A9F1A72"/>
    <w:rsid w:val="3AC82A1D"/>
    <w:rsid w:val="3ACE216B"/>
    <w:rsid w:val="3ADF36EC"/>
    <w:rsid w:val="3AE72E6B"/>
    <w:rsid w:val="3B33742C"/>
    <w:rsid w:val="3B64626A"/>
    <w:rsid w:val="3B7346FF"/>
    <w:rsid w:val="3B7D1841"/>
    <w:rsid w:val="3BA50630"/>
    <w:rsid w:val="3BD333EF"/>
    <w:rsid w:val="3BE60A52"/>
    <w:rsid w:val="3BF740BD"/>
    <w:rsid w:val="3BF75330"/>
    <w:rsid w:val="3C1001A0"/>
    <w:rsid w:val="3C587148"/>
    <w:rsid w:val="3C62791F"/>
    <w:rsid w:val="3C7E3E84"/>
    <w:rsid w:val="3C965237"/>
    <w:rsid w:val="3CFB44C3"/>
    <w:rsid w:val="3D01676D"/>
    <w:rsid w:val="3D121CF5"/>
    <w:rsid w:val="3D2A5291"/>
    <w:rsid w:val="3D6A7D83"/>
    <w:rsid w:val="3D8449A1"/>
    <w:rsid w:val="3D8A2CB0"/>
    <w:rsid w:val="3D8F7591"/>
    <w:rsid w:val="3E272EE8"/>
    <w:rsid w:val="3E344619"/>
    <w:rsid w:val="3E534E03"/>
    <w:rsid w:val="3E864749"/>
    <w:rsid w:val="3E917C19"/>
    <w:rsid w:val="3EBE2135"/>
    <w:rsid w:val="3ED656D0"/>
    <w:rsid w:val="3F12422F"/>
    <w:rsid w:val="3F1F4BA2"/>
    <w:rsid w:val="3F383632"/>
    <w:rsid w:val="3F44662B"/>
    <w:rsid w:val="3F453306"/>
    <w:rsid w:val="3F740A45"/>
    <w:rsid w:val="3FAF58B0"/>
    <w:rsid w:val="3FFF47B3"/>
    <w:rsid w:val="400E7546"/>
    <w:rsid w:val="40183119"/>
    <w:rsid w:val="4052477A"/>
    <w:rsid w:val="4052753A"/>
    <w:rsid w:val="40B30B18"/>
    <w:rsid w:val="413E130B"/>
    <w:rsid w:val="41B7665D"/>
    <w:rsid w:val="422514B1"/>
    <w:rsid w:val="426E79CE"/>
    <w:rsid w:val="42DE4B54"/>
    <w:rsid w:val="43422F5A"/>
    <w:rsid w:val="439416B6"/>
    <w:rsid w:val="4394233B"/>
    <w:rsid w:val="43B35A16"/>
    <w:rsid w:val="441308E0"/>
    <w:rsid w:val="45B7128B"/>
    <w:rsid w:val="45C970A0"/>
    <w:rsid w:val="45EA198E"/>
    <w:rsid w:val="461E51EB"/>
    <w:rsid w:val="467D28D5"/>
    <w:rsid w:val="46902609"/>
    <w:rsid w:val="46B35164"/>
    <w:rsid w:val="46C430DC"/>
    <w:rsid w:val="46D1677D"/>
    <w:rsid w:val="475F022D"/>
    <w:rsid w:val="47704B50"/>
    <w:rsid w:val="48967C7F"/>
    <w:rsid w:val="48BC3499"/>
    <w:rsid w:val="493F20C4"/>
    <w:rsid w:val="49A3337A"/>
    <w:rsid w:val="49BE0F52"/>
    <w:rsid w:val="4A0A0193"/>
    <w:rsid w:val="4A3D4856"/>
    <w:rsid w:val="4A875AD1"/>
    <w:rsid w:val="4A9D48C2"/>
    <w:rsid w:val="4ABB15CA"/>
    <w:rsid w:val="4B0E1D4E"/>
    <w:rsid w:val="4BCC5D64"/>
    <w:rsid w:val="4BD50ABE"/>
    <w:rsid w:val="4BE40D01"/>
    <w:rsid w:val="4C363892"/>
    <w:rsid w:val="4C4023DB"/>
    <w:rsid w:val="4C632900"/>
    <w:rsid w:val="4C787DC7"/>
    <w:rsid w:val="4CA30BBC"/>
    <w:rsid w:val="4CB041A4"/>
    <w:rsid w:val="4CD24E2E"/>
    <w:rsid w:val="4D106251"/>
    <w:rsid w:val="4D1D271C"/>
    <w:rsid w:val="4D3073ED"/>
    <w:rsid w:val="4D824567"/>
    <w:rsid w:val="4DA22C22"/>
    <w:rsid w:val="4DC25072"/>
    <w:rsid w:val="4DDA284D"/>
    <w:rsid w:val="4E600F7F"/>
    <w:rsid w:val="4E946A0E"/>
    <w:rsid w:val="4ECB579F"/>
    <w:rsid w:val="4ED32A15"/>
    <w:rsid w:val="4EFE20DA"/>
    <w:rsid w:val="4F136BAF"/>
    <w:rsid w:val="4F5C39D0"/>
    <w:rsid w:val="4F786330"/>
    <w:rsid w:val="4FA9337C"/>
    <w:rsid w:val="501F67AB"/>
    <w:rsid w:val="50852AB2"/>
    <w:rsid w:val="50B9275C"/>
    <w:rsid w:val="50D47596"/>
    <w:rsid w:val="50F15594"/>
    <w:rsid w:val="51000915"/>
    <w:rsid w:val="51025EB1"/>
    <w:rsid w:val="51A451BA"/>
    <w:rsid w:val="51A93D45"/>
    <w:rsid w:val="51D860AE"/>
    <w:rsid w:val="52313BAC"/>
    <w:rsid w:val="5245699D"/>
    <w:rsid w:val="527A416D"/>
    <w:rsid w:val="52B15DE1"/>
    <w:rsid w:val="52C00AB5"/>
    <w:rsid w:val="52CD6993"/>
    <w:rsid w:val="52D32C59"/>
    <w:rsid w:val="52D33227"/>
    <w:rsid w:val="52D7336D"/>
    <w:rsid w:val="52ED493F"/>
    <w:rsid w:val="53516268"/>
    <w:rsid w:val="53BA6F17"/>
    <w:rsid w:val="53C94501"/>
    <w:rsid w:val="54942314"/>
    <w:rsid w:val="54A315F0"/>
    <w:rsid w:val="551F080C"/>
    <w:rsid w:val="557D01FC"/>
    <w:rsid w:val="558649E9"/>
    <w:rsid w:val="559B757A"/>
    <w:rsid w:val="55B21658"/>
    <w:rsid w:val="560222CE"/>
    <w:rsid w:val="560A3E85"/>
    <w:rsid w:val="561E35DE"/>
    <w:rsid w:val="56423283"/>
    <w:rsid w:val="56C47F55"/>
    <w:rsid w:val="57127095"/>
    <w:rsid w:val="571B5E1C"/>
    <w:rsid w:val="57211FE5"/>
    <w:rsid w:val="572253C2"/>
    <w:rsid w:val="57DB56AE"/>
    <w:rsid w:val="57E75E01"/>
    <w:rsid w:val="582B597E"/>
    <w:rsid w:val="586B76C2"/>
    <w:rsid w:val="587F428B"/>
    <w:rsid w:val="588A18E5"/>
    <w:rsid w:val="589A10C5"/>
    <w:rsid w:val="58A255C2"/>
    <w:rsid w:val="59154BEF"/>
    <w:rsid w:val="591D1B7F"/>
    <w:rsid w:val="592C090B"/>
    <w:rsid w:val="594B1686"/>
    <w:rsid w:val="59B57AB7"/>
    <w:rsid w:val="5A113609"/>
    <w:rsid w:val="5A124512"/>
    <w:rsid w:val="5A3D61AC"/>
    <w:rsid w:val="5AD61C4C"/>
    <w:rsid w:val="5B063489"/>
    <w:rsid w:val="5B196FF7"/>
    <w:rsid w:val="5B2630E4"/>
    <w:rsid w:val="5B7A6F8C"/>
    <w:rsid w:val="5B852845"/>
    <w:rsid w:val="5B8D3163"/>
    <w:rsid w:val="5BCB45A3"/>
    <w:rsid w:val="5BF226BA"/>
    <w:rsid w:val="5C084598"/>
    <w:rsid w:val="5C2A6C04"/>
    <w:rsid w:val="5C2D0A9F"/>
    <w:rsid w:val="5C78171D"/>
    <w:rsid w:val="5C986C68"/>
    <w:rsid w:val="5CCB4C52"/>
    <w:rsid w:val="5CD235A2"/>
    <w:rsid w:val="5D1256CE"/>
    <w:rsid w:val="5EB629D1"/>
    <w:rsid w:val="5ED43404"/>
    <w:rsid w:val="5F28567D"/>
    <w:rsid w:val="5F5A15AE"/>
    <w:rsid w:val="5F7563E8"/>
    <w:rsid w:val="6025390F"/>
    <w:rsid w:val="602A730A"/>
    <w:rsid w:val="604A0FC0"/>
    <w:rsid w:val="6062071A"/>
    <w:rsid w:val="609E54CA"/>
    <w:rsid w:val="60B60A66"/>
    <w:rsid w:val="60FF065F"/>
    <w:rsid w:val="614348BF"/>
    <w:rsid w:val="61E909C7"/>
    <w:rsid w:val="628F77C1"/>
    <w:rsid w:val="629372B1"/>
    <w:rsid w:val="631906FD"/>
    <w:rsid w:val="638D7E1B"/>
    <w:rsid w:val="63E33020"/>
    <w:rsid w:val="63F313D6"/>
    <w:rsid w:val="641F4B74"/>
    <w:rsid w:val="64300B2F"/>
    <w:rsid w:val="644A7E43"/>
    <w:rsid w:val="644B29EB"/>
    <w:rsid w:val="64C21A65"/>
    <w:rsid w:val="64D2036D"/>
    <w:rsid w:val="6503311C"/>
    <w:rsid w:val="651641C9"/>
    <w:rsid w:val="656D7047"/>
    <w:rsid w:val="65943DCC"/>
    <w:rsid w:val="6645502F"/>
    <w:rsid w:val="66592A75"/>
    <w:rsid w:val="66B33C62"/>
    <w:rsid w:val="66CB34B0"/>
    <w:rsid w:val="66CE552F"/>
    <w:rsid w:val="66F978FF"/>
    <w:rsid w:val="67005A4F"/>
    <w:rsid w:val="67010C05"/>
    <w:rsid w:val="674F1B70"/>
    <w:rsid w:val="67607CDE"/>
    <w:rsid w:val="67795450"/>
    <w:rsid w:val="67987117"/>
    <w:rsid w:val="67BA0013"/>
    <w:rsid w:val="67C33BC0"/>
    <w:rsid w:val="67FA392E"/>
    <w:rsid w:val="6874548F"/>
    <w:rsid w:val="687F5F93"/>
    <w:rsid w:val="68B95597"/>
    <w:rsid w:val="68F41F57"/>
    <w:rsid w:val="69054339"/>
    <w:rsid w:val="6914022D"/>
    <w:rsid w:val="696C260A"/>
    <w:rsid w:val="699851AD"/>
    <w:rsid w:val="699B2EEF"/>
    <w:rsid w:val="699D6C67"/>
    <w:rsid w:val="69B84EDC"/>
    <w:rsid w:val="6A0339D1"/>
    <w:rsid w:val="6A2151A2"/>
    <w:rsid w:val="6ACC771E"/>
    <w:rsid w:val="6AE727FB"/>
    <w:rsid w:val="6B476A1E"/>
    <w:rsid w:val="6B4C44A1"/>
    <w:rsid w:val="6B755743"/>
    <w:rsid w:val="6BAA7419"/>
    <w:rsid w:val="6BE248E5"/>
    <w:rsid w:val="6C021003"/>
    <w:rsid w:val="6C1F1BB5"/>
    <w:rsid w:val="6C540873"/>
    <w:rsid w:val="6C6F1216"/>
    <w:rsid w:val="6C9A56E0"/>
    <w:rsid w:val="6CA82785"/>
    <w:rsid w:val="6CB20E55"/>
    <w:rsid w:val="6CE85848"/>
    <w:rsid w:val="6D15191A"/>
    <w:rsid w:val="6D3A6CB4"/>
    <w:rsid w:val="6D6B4986"/>
    <w:rsid w:val="6DEA61F3"/>
    <w:rsid w:val="6DFC5FDF"/>
    <w:rsid w:val="6E0D2F46"/>
    <w:rsid w:val="6E3D6323"/>
    <w:rsid w:val="6E9E40AE"/>
    <w:rsid w:val="6EA97E5C"/>
    <w:rsid w:val="6ECC5FE7"/>
    <w:rsid w:val="6EDB6140"/>
    <w:rsid w:val="6F9E1043"/>
    <w:rsid w:val="6FB14B95"/>
    <w:rsid w:val="6FBB39A3"/>
    <w:rsid w:val="6FD42CB7"/>
    <w:rsid w:val="70077DE7"/>
    <w:rsid w:val="7029485D"/>
    <w:rsid w:val="70B56644"/>
    <w:rsid w:val="710366B1"/>
    <w:rsid w:val="71CF1988"/>
    <w:rsid w:val="71D13952"/>
    <w:rsid w:val="722021E3"/>
    <w:rsid w:val="723C4321"/>
    <w:rsid w:val="72800ED4"/>
    <w:rsid w:val="72F316A6"/>
    <w:rsid w:val="73612223"/>
    <w:rsid w:val="738467A2"/>
    <w:rsid w:val="73890A15"/>
    <w:rsid w:val="73941822"/>
    <w:rsid w:val="739B7DBF"/>
    <w:rsid w:val="73A85115"/>
    <w:rsid w:val="73BA21C4"/>
    <w:rsid w:val="73C3551C"/>
    <w:rsid w:val="74303CED"/>
    <w:rsid w:val="745829FA"/>
    <w:rsid w:val="745E6FF3"/>
    <w:rsid w:val="74650381"/>
    <w:rsid w:val="74687C74"/>
    <w:rsid w:val="7478586B"/>
    <w:rsid w:val="74C72F0F"/>
    <w:rsid w:val="74F62301"/>
    <w:rsid w:val="7518696C"/>
    <w:rsid w:val="75457C9F"/>
    <w:rsid w:val="755747C3"/>
    <w:rsid w:val="758A0127"/>
    <w:rsid w:val="758B0767"/>
    <w:rsid w:val="75B275F6"/>
    <w:rsid w:val="761422CC"/>
    <w:rsid w:val="76224CCF"/>
    <w:rsid w:val="762F6E99"/>
    <w:rsid w:val="76530DD9"/>
    <w:rsid w:val="770B16B4"/>
    <w:rsid w:val="770E4B54"/>
    <w:rsid w:val="772E7150"/>
    <w:rsid w:val="77A15B74"/>
    <w:rsid w:val="77A86F03"/>
    <w:rsid w:val="77F0668A"/>
    <w:rsid w:val="785045C8"/>
    <w:rsid w:val="789456D9"/>
    <w:rsid w:val="79020895"/>
    <w:rsid w:val="79110AD8"/>
    <w:rsid w:val="791A1FD1"/>
    <w:rsid w:val="791A5BDE"/>
    <w:rsid w:val="79294073"/>
    <w:rsid w:val="79AE6381"/>
    <w:rsid w:val="7AA535EF"/>
    <w:rsid w:val="7B2B0079"/>
    <w:rsid w:val="7B4C4049"/>
    <w:rsid w:val="7B4C6C5F"/>
    <w:rsid w:val="7B590514"/>
    <w:rsid w:val="7B5F2B22"/>
    <w:rsid w:val="7B833D31"/>
    <w:rsid w:val="7BAC2D3A"/>
    <w:rsid w:val="7BC71BE8"/>
    <w:rsid w:val="7BCE7F00"/>
    <w:rsid w:val="7BEE3352"/>
    <w:rsid w:val="7C0E12FE"/>
    <w:rsid w:val="7C213CD7"/>
    <w:rsid w:val="7C2F624D"/>
    <w:rsid w:val="7C6A15B3"/>
    <w:rsid w:val="7CFA01CB"/>
    <w:rsid w:val="7D2E5D91"/>
    <w:rsid w:val="7DA55C93"/>
    <w:rsid w:val="7DCD5C31"/>
    <w:rsid w:val="7E4D2CFE"/>
    <w:rsid w:val="7E741677"/>
    <w:rsid w:val="7E8D404B"/>
    <w:rsid w:val="7F46479C"/>
    <w:rsid w:val="7F6364A4"/>
    <w:rsid w:val="7FA75CF2"/>
    <w:rsid w:val="7FB7473A"/>
    <w:rsid w:val="7FF54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Strong"/>
    <w:basedOn w:val="8"/>
    <w:qFormat/>
    <w:uiPriority w:val="22"/>
    <w:rPr>
      <w:b/>
    </w:rPr>
  </w:style>
  <w:style w:type="character" w:styleId="10">
    <w:name w:val="Hyperlink"/>
    <w:basedOn w:val="8"/>
    <w:qFormat/>
    <w:uiPriority w:val="0"/>
    <w:rPr>
      <w:color w:val="0000FF"/>
      <w:u w:val="single"/>
    </w:rPr>
  </w:style>
  <w:style w:type="character" w:customStyle="1" w:styleId="11">
    <w:name w:val="页眉 字符"/>
    <w:basedOn w:val="8"/>
    <w:link w:val="6"/>
    <w:qFormat/>
    <w:uiPriority w:val="99"/>
    <w:rPr>
      <w:sz w:val="18"/>
      <w:szCs w:val="18"/>
    </w:rPr>
  </w:style>
  <w:style w:type="character" w:customStyle="1" w:styleId="12">
    <w:name w:val="页脚 字符"/>
    <w:basedOn w:val="8"/>
    <w:link w:val="5"/>
    <w:qFormat/>
    <w:uiPriority w:val="99"/>
    <w:rPr>
      <w:sz w:val="18"/>
      <w:szCs w:val="18"/>
    </w:rPr>
  </w:style>
  <w:style w:type="character" w:customStyle="1" w:styleId="13">
    <w:name w:val="row_tree_level_3"/>
    <w:basedOn w:val="8"/>
    <w:qFormat/>
    <w:uiPriority w:val="0"/>
  </w:style>
  <w:style w:type="character" w:customStyle="1" w:styleId="14">
    <w:name w:val="row_tree_level_4"/>
    <w:basedOn w:val="8"/>
    <w:qFormat/>
    <w:uiPriority w:val="0"/>
  </w:style>
  <w:style w:type="paragraph" w:customStyle="1" w:styleId="15">
    <w:name w:val="p0"/>
    <w:basedOn w:val="1"/>
    <w:qFormat/>
    <w:uiPriority w:val="0"/>
    <w:pPr>
      <w:widowControl/>
    </w:pPr>
    <w:rPr>
      <w:rFonts w:ascii="Times New Roman" w:hAnsi="Times New Roman" w:eastAsia="宋体" w:cs="Times New Roman"/>
      <w:kern w:val="0"/>
      <w:szCs w:val="21"/>
    </w:rPr>
  </w:style>
  <w:style w:type="character" w:customStyle="1" w:styleId="16">
    <w:name w:val="15"/>
    <w:basedOn w:val="8"/>
    <w:qFormat/>
    <w:uiPriority w:val="0"/>
    <w:rPr>
      <w:rFonts w:hint="default" w:ascii="Times New Roman" w:hAnsi="Times New Roman" w:cs="Times New Roman"/>
      <w:sz w:val="20"/>
      <w:szCs w:val="20"/>
    </w:rPr>
  </w:style>
  <w:style w:type="character" w:customStyle="1" w:styleId="17">
    <w:name w:val="font01"/>
    <w:basedOn w:val="8"/>
    <w:qFormat/>
    <w:uiPriority w:val="0"/>
    <w:rPr>
      <w:rFonts w:hint="eastAsia" w:ascii="等线" w:hAnsi="等线" w:eastAsia="等线" w:cs="等线"/>
      <w:color w:val="000000"/>
      <w:sz w:val="22"/>
      <w:szCs w:val="22"/>
      <w:u w:val="none"/>
    </w:rPr>
  </w:style>
  <w:style w:type="paragraph" w:customStyle="1" w:styleId="18">
    <w:name w:val="标题 方正小标宋 二号 不加粗"/>
    <w:basedOn w:val="1"/>
    <w:qFormat/>
    <w:uiPriority w:val="0"/>
    <w:pPr>
      <w:spacing w:line="660" w:lineRule="exact"/>
      <w:ind w:firstLine="0" w:firstLineChars="0"/>
      <w:jc w:val="center"/>
    </w:pPr>
    <w:rPr>
      <w:rFonts w:hint="eastAsia" w:ascii="方正小标宋简体" w:hAnsi="方正小标宋简体" w:eastAsia="方正小标宋简体" w:cs="方正小标宋简体"/>
      <w:sz w:val="44"/>
      <w:szCs w:val="44"/>
    </w:rPr>
  </w:style>
  <w:style w:type="paragraph" w:customStyle="1" w:styleId="19">
    <w:name w:val="一级标题 黑体三号不加粗"/>
    <w:basedOn w:val="1"/>
    <w:next w:val="1"/>
    <w:qFormat/>
    <w:uiPriority w:val="0"/>
    <w:pPr>
      <w:keepNext/>
      <w:keepLines/>
      <w:numPr>
        <w:ilvl w:val="0"/>
        <w:numId w:val="1"/>
      </w:numPr>
      <w:spacing w:line="600" w:lineRule="exact"/>
      <w:ind w:firstLine="723" w:firstLineChars="200"/>
      <w:outlineLvl w:val="0"/>
    </w:pPr>
    <w:rPr>
      <w:rFonts w:ascii="黑体" w:hAnsi="黑体" w:eastAsia="黑体"/>
      <w:kern w:val="44"/>
      <w:sz w:val="32"/>
      <w:szCs w:val="32"/>
    </w:rPr>
  </w:style>
  <w:style w:type="paragraph" w:customStyle="1" w:styleId="20">
    <w:name w:val="正文 仿宋国标三号 不加粗"/>
    <w:basedOn w:val="1"/>
    <w:qFormat/>
    <w:uiPriority w:val="0"/>
    <w:pPr>
      <w:spacing w:line="600" w:lineRule="exact"/>
      <w:ind w:firstLine="880" w:firstLineChars="200"/>
    </w:pPr>
    <w:rPr>
      <w:rFonts w:ascii="仿宋_GB2312" w:hAnsi="仿宋_GB2312" w:eastAsia="仿宋_GB2312"/>
      <w:sz w:val="32"/>
      <w:szCs w:val="32"/>
    </w:rPr>
  </w:style>
  <w:style w:type="paragraph" w:customStyle="1" w:styleId="21">
    <w:name w:val="二级标题 楷体国标 三号不加粗"/>
    <w:basedOn w:val="1"/>
    <w:next w:val="1"/>
    <w:qFormat/>
    <w:uiPriority w:val="0"/>
    <w:pPr>
      <w:keepNext/>
      <w:keepLines/>
      <w:numPr>
        <w:ilvl w:val="0"/>
        <w:numId w:val="2"/>
      </w:numPr>
      <w:spacing w:beforeLines="0" w:afterLines="0" w:line="600" w:lineRule="exact"/>
      <w:ind w:firstLine="420" w:firstLineChars="200"/>
      <w:outlineLvl w:val="1"/>
    </w:pPr>
    <w:rPr>
      <w:rFonts w:ascii="楷体_GB2312" w:hAnsi="楷体_GB2312" w:eastAsia="楷体_GB2312"/>
      <w:b/>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2212</Words>
  <Characters>2873</Characters>
  <Lines>47</Lines>
  <Paragraphs>13</Paragraphs>
  <TotalTime>6</TotalTime>
  <ScaleCrop>false</ScaleCrop>
  <LinksUpToDate>false</LinksUpToDate>
  <CharactersWithSpaces>2941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2025-12-18T11:22:00Z</dcterms:created>
  <dc:creator>NTKO</dc:creator>
  <cp:lastModifiedBy>恬宝是小天使</cp:lastModifiedBy>
  <dcterms:modified xsi:type="dcterms:W3CDTF">2026-02-11T10:15:59Z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48B76EA3985D4FA7892FA663B4A9FBCF_13</vt:lpwstr>
  </property>
  <property fmtid="{D5CDD505-2E9C-101B-9397-08002B2CF9AE}" pid="3" name="KSOProductBuildVer">
    <vt:lpwstr>2052-12.1.0.25225</vt:lpwstr>
  </property>
  <property fmtid="{D5CDD505-2E9C-101B-9397-08002B2CF9AE}" pid="4" name="KSOTemplateDocerSaveRecord">
    <vt:lpwstr>eyJoZGlkIjoiMGEyNWYzMDlmYjMxYTYxNjBlNTJhNmNmOWMyOTJlM2UiLCJ1c2VySWQiOiIzMzg4NDI3MzAifQ==</vt:lpwstr>
  </property>
</Properties>
</file>