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新余市渝水区财政局2023年度</w:t>
      </w:r>
      <w:r>
        <w:rPr>
          <w:rFonts w:hint="eastAsia" w:ascii="宋体" w:hAnsi="宋体" w:cs="宋体"/>
          <w:b/>
          <w:bCs/>
          <w:sz w:val="44"/>
          <w:szCs w:val="36"/>
          <w:lang w:val="en-US" w:eastAsia="zh-CN"/>
        </w:rPr>
        <w:t>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新余市渝水区财政局概况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部门决算</w:t>
      </w:r>
      <w:r>
        <w:rPr>
          <w:rFonts w:hint="eastAsia" w:ascii="黑体" w:hAnsi="黑体" w:eastAsia="黑体"/>
          <w:sz w:val="32"/>
          <w:szCs w:val="32"/>
        </w:rPr>
        <w:t>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部门决算</w:t>
      </w:r>
      <w:r>
        <w:rPr>
          <w:rFonts w:hint="eastAsia" w:ascii="黑体" w:hAnsi="黑体" w:eastAsia="黑体"/>
          <w:sz w:val="32"/>
          <w:szCs w:val="32"/>
        </w:rPr>
        <w:t>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bookmarkStart w:id="0" w:name="_GoBack"/>
      <w:bookmarkEnd w:id="0"/>
      <w:r>
        <w:rPr>
          <w:rFonts w:hint="eastAsia" w:ascii="黑体" w:hAnsi="黑体" w:eastAsia="黑体"/>
          <w:sz w:val="32"/>
          <w:szCs w:val="32"/>
        </w:rPr>
        <w:t>第五部分  附件</w:t>
      </w:r>
    </w:p>
    <w:p>
      <w:pPr>
        <w:pStyle w:val="2"/>
        <w:rPr>
          <w:rFonts w:hint="default" w:ascii="黑体" w:hAnsi="黑体" w:eastAsia="黑体"/>
          <w:sz w:val="32"/>
          <w:szCs w:val="32"/>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新余市渝水区财政局概况</w:t>
      </w:r>
    </w:p>
    <w:p>
      <w:pPr>
        <w:ind w:firstLine="630"/>
        <w:jc w:val="center"/>
        <w:rPr>
          <w:rFonts w:hint="eastAsia"/>
          <w:sz w:val="32"/>
          <w:szCs w:val="32"/>
        </w:rPr>
      </w:pPr>
    </w:p>
    <w:p>
      <w:pPr>
        <w:numPr>
          <w:ilvl w:val="0"/>
          <w:numId w:val="1"/>
        </w:numPr>
        <w:ind w:firstLine="630"/>
        <w:jc w:val="left"/>
        <w:outlineLvl w:val="1"/>
        <w:rPr>
          <w:rFonts w:hint="eastAsia" w:ascii="仿宋_GB2312" w:hAnsi="宋体" w:eastAsia="仿宋_GB2312" w:cs="宋体"/>
          <w:kern w:val="0"/>
          <w:sz w:val="32"/>
          <w:szCs w:val="32"/>
        </w:rPr>
      </w:pPr>
      <w:r>
        <w:rPr>
          <w:rFonts w:hint="eastAsia" w:ascii="黑体" w:hAnsi="黑体" w:eastAsia="黑体"/>
          <w:sz w:val="32"/>
          <w:szCs w:val="32"/>
          <w:lang w:val="en-US" w:eastAsia="zh-CN"/>
        </w:rPr>
        <w:t>单位</w:t>
      </w:r>
      <w:r>
        <w:rPr>
          <w:rFonts w:hint="eastAsia" w:ascii="黑体" w:hAnsi="黑体" w:eastAsia="黑体"/>
          <w:sz w:val="32"/>
          <w:szCs w:val="32"/>
        </w:rPr>
        <w:t>主要职责</w:t>
      </w:r>
    </w:p>
    <w:p>
      <w:pPr>
        <w:numPr>
          <w:ilvl w:val="0"/>
          <w:numId w:val="0"/>
        </w:numPr>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贯彻执行党和国家关于财政、税收的方针政策和法律法规，分析预测全区宏观经济形势，参与制定有关宏观经济政策，提出运用财税政策实施宏观调控和综合平衡社会财力的建议。拟订全区财政、财务、会计管理等规章制度。研究财政发展战略，拟订和执行全区财政分配政策，编制全区中长期财政规划。指导全区财政工作。</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承担区本级各项财政收支管理责任。负责编制区本级年度预算草案和汇编全区年度预算，组织全区预算执行。负责编制区本级决算草案和审编全区决算草案。受区政府委托，向区人民代表大会报告全区预算及其执行情况，向区人大常委会报告决算。负责审核批复部门（单位）的年度预决算。</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）负责政府非税收入管理。负责政府性基金管理，按规定管理行政事业性收费，管理财政票据，管理彩票资金。</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）组织制定并实施国库管理制度和国库集中收付制度，指导和监督全区国库业务，按规定开展国库现金管理工作。</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）制定需要全区统一规定的开支标准和支出政策，负责财政预算内行政机构、事业单位和社会团体的非贸易外汇管理。负责制定政府采购制度并监督管理。</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）会同有关部门管理区级财政社会保障、就业及医疗卫生支出，会同有关部门拟订社会保障资金（基金）财务管理制度，编制区本级社会保障预决算草案。</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 xml:space="preserve">）负责审核和汇总编制全区国有资本经营预决算草案，制定国有资本经营预算的制度和办法，收取区本级企业国有资本收益，制定并组织执行企业财务制度，参与拟订企业国有资产管理相关制度。 </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）负责办理和监督区级财政经济发展支出、区级政府性投资项目财政拨款，参与拟订区本级建设投资的有关政策，制定基本建设财务制度。负责有关政策性补贴和专项储备资金财政管理工作。</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）管理全区会计工作，监督和规范会计行为。指导和管理社会审计工作。</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）参与研究全区利用外资有关政策，管理外国政府和金融机构在本区贷款项目的有关业务。</w:t>
      </w:r>
    </w:p>
    <w:p>
      <w:pPr>
        <w:widowControl/>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）监督检查财税法规、政策执行情况，提出加强财政管理的意见建议，反映财政收支管理中的重大问题。</w:t>
      </w:r>
    </w:p>
    <w:p>
      <w:pPr>
        <w:pStyle w:val="6"/>
        <w:ind w:left="638" w:leftChars="304" w:firstLine="0" w:firstLineChars="0"/>
        <w:rPr>
          <w:rFonts w:hint="default" w:ascii="仿宋" w:hAnsi="仿宋" w:eastAsia="仿宋" w:cs="仿宋"/>
          <w:b/>
          <w:bCs/>
          <w:sz w:val="32"/>
          <w:szCs w:val="32"/>
          <w:lang w:val="en-US"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完成区委、区政府交办的其他任务。</w:t>
      </w:r>
    </w:p>
    <w:p>
      <w:pPr>
        <w:pStyle w:val="2"/>
        <w:numPr>
          <w:ilvl w:val="0"/>
          <w:numId w:val="0"/>
        </w:numPr>
        <w:rPr>
          <w:rFonts w:hint="default" w:eastAsia="宋体"/>
          <w:lang w:val="en-US" w:eastAsia="zh-CN"/>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spacing w:line="600" w:lineRule="exact"/>
        <w:ind w:firstLine="630"/>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纳入本套部门决算汇编范围的单位共1个，包括：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渝水区财政局</w:t>
            </w:r>
          </w:p>
        </w:tc>
        <w:tc>
          <w:tcPr>
            <w:tcW w:w="2348" w:type="dxa"/>
            <w:shd w:val="clear" w:color="auto" w:fill="auto"/>
            <w:noWrap w:val="0"/>
            <w:vAlign w:val="top"/>
          </w:tcPr>
          <w:p>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pStyle w:val="2"/>
        <w:rPr>
          <w:rFonts w:hint="eastAsia"/>
          <w:lang w:val="en-US" w:eastAsia="zh-CN"/>
        </w:rPr>
      </w:pPr>
    </w:p>
    <w:p>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设立</w:t>
      </w:r>
      <w:r>
        <w:rPr>
          <w:rFonts w:hint="eastAsia" w:ascii="仿宋_GB2312" w:hAnsi="仿宋_GB2312" w:eastAsia="仿宋_GB2312"/>
          <w:sz w:val="32"/>
          <w:szCs w:val="32"/>
          <w:lang w:val="en-US" w:eastAsia="zh-CN"/>
        </w:rPr>
        <w:t>13</w:t>
      </w:r>
      <w:r>
        <w:rPr>
          <w:rFonts w:hint="eastAsia" w:ascii="仿宋_GB2312" w:hAnsi="仿宋_GB2312" w:eastAsia="仿宋_GB2312"/>
          <w:sz w:val="32"/>
          <w:szCs w:val="32"/>
        </w:rPr>
        <w:t>个内设机构，分别是分别是办公室、预算股、国库股、行政政法股、社会保障股、教科文股、经建和基建股、农业股、债务金融股、综合股、绩效财监股、财政投资评审股、信息中心。</w:t>
      </w:r>
    </w:p>
    <w:p>
      <w:pPr>
        <w:ind w:firstLine="640" w:firstLineChars="200"/>
        <w:jc w:val="left"/>
        <w:rPr>
          <w:rFonts w:hint="eastAsia"/>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年末在职人员63人，离退休人员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人（不含由养老保险基金发放养老金的离退休人员），其他人员0人。由养老保险基金发放养老金的离退休人员23人。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部门决算</w:t>
      </w:r>
      <w:r>
        <w:rPr>
          <w:rFonts w:hint="eastAsia" w:ascii="宋体" w:hAnsi="宋体" w:cs="宋体"/>
          <w:b/>
          <w:sz w:val="44"/>
          <w:szCs w:val="44"/>
        </w:rPr>
        <w:t>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2,530.63</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2,081.92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384.41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58.38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2,530.63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2,530.63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2,530.63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2,530.63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2,530.63</w:t>
            </w:r>
          </w:p>
        </w:tc>
        <w:tc>
          <w:tcPr>
            <w:tcW w:w="900" w:type="dxa"/>
            <w:vAlign w:val="center"/>
          </w:tcPr>
          <w:p>
            <w:pPr>
              <w:jc w:val="right"/>
            </w:pPr>
            <w:r>
              <w:rPr>
                <w:rFonts w:ascii="宋体" w:hAnsi="宋体" w:eastAsia="宋体" w:cs="宋体"/>
                <w:b w:val="0"/>
                <w:i w:val="0"/>
                <w:color w:val="000000"/>
                <w:sz w:val="9"/>
              </w:rPr>
              <w:t>2,530.63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2,081.92</w:t>
            </w:r>
          </w:p>
        </w:tc>
        <w:tc>
          <w:tcPr>
            <w:tcW w:w="900" w:type="dxa"/>
            <w:vAlign w:val="center"/>
          </w:tcPr>
          <w:p>
            <w:pPr>
              <w:jc w:val="right"/>
            </w:pPr>
            <w:r>
              <w:rPr>
                <w:rFonts w:ascii="宋体" w:hAnsi="宋体" w:eastAsia="宋体" w:cs="宋体"/>
                <w:b w:val="0"/>
                <w:i w:val="0"/>
                <w:color w:val="000000"/>
                <w:sz w:val="9"/>
              </w:rPr>
              <w:t>2,081.92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2,049.39</w:t>
            </w:r>
          </w:p>
        </w:tc>
        <w:tc>
          <w:tcPr>
            <w:tcW w:w="900" w:type="dxa"/>
            <w:vAlign w:val="center"/>
          </w:tcPr>
          <w:p>
            <w:pPr>
              <w:jc w:val="right"/>
            </w:pPr>
            <w:r>
              <w:rPr>
                <w:rFonts w:ascii="宋体" w:hAnsi="宋体" w:eastAsia="宋体" w:cs="宋体"/>
                <w:b w:val="0"/>
                <w:i w:val="0"/>
                <w:color w:val="000000"/>
                <w:sz w:val="9"/>
              </w:rPr>
              <w:t>2,049.39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1,305.96</w:t>
            </w:r>
          </w:p>
        </w:tc>
        <w:tc>
          <w:tcPr>
            <w:tcW w:w="900" w:type="dxa"/>
            <w:vAlign w:val="center"/>
          </w:tcPr>
          <w:p>
            <w:pPr>
              <w:jc w:val="right"/>
            </w:pPr>
            <w:r>
              <w:rPr>
                <w:rFonts w:ascii="宋体" w:hAnsi="宋体" w:eastAsia="宋体" w:cs="宋体"/>
                <w:b w:val="0"/>
                <w:i w:val="0"/>
                <w:color w:val="000000"/>
                <w:sz w:val="9"/>
              </w:rPr>
              <w:t>1,305.96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2010608</w:t>
            </w:r>
          </w:p>
        </w:tc>
        <w:tc>
          <w:tcPr>
            <w:tcW w:w="1420" w:type="dxa"/>
            <w:vAlign w:val="center"/>
          </w:tcPr>
          <w:p>
            <w:pPr>
              <w:jc w:val="left"/>
            </w:pPr>
            <w:r>
              <w:rPr>
                <w:rFonts w:ascii="宋体" w:hAnsi="宋体" w:eastAsia="宋体" w:cs="宋体"/>
                <w:b w:val="0"/>
                <w:i w:val="0"/>
                <w:color w:val="000000"/>
                <w:sz w:val="9"/>
              </w:rPr>
              <w:t>财政委托业务支出</w:t>
            </w:r>
          </w:p>
        </w:tc>
        <w:tc>
          <w:tcPr>
            <w:tcW w:w="860" w:type="dxa"/>
            <w:vAlign w:val="center"/>
          </w:tcPr>
          <w:p>
            <w:pPr>
              <w:jc w:val="right"/>
            </w:pPr>
            <w:r>
              <w:rPr>
                <w:rFonts w:ascii="宋体" w:hAnsi="宋体" w:eastAsia="宋体" w:cs="宋体"/>
                <w:b w:val="0"/>
                <w:i w:val="0"/>
                <w:color w:val="000000"/>
                <w:sz w:val="9"/>
              </w:rPr>
              <w:t>425.00</w:t>
            </w:r>
          </w:p>
        </w:tc>
        <w:tc>
          <w:tcPr>
            <w:tcW w:w="900" w:type="dxa"/>
            <w:vAlign w:val="center"/>
          </w:tcPr>
          <w:p>
            <w:pPr>
              <w:jc w:val="right"/>
            </w:pPr>
            <w:r>
              <w:rPr>
                <w:rFonts w:ascii="宋体" w:hAnsi="宋体" w:eastAsia="宋体" w:cs="宋体"/>
                <w:b w:val="0"/>
                <w:i w:val="0"/>
                <w:color w:val="000000"/>
                <w:sz w:val="9"/>
              </w:rPr>
              <w:t>425.00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2010699</w:t>
            </w:r>
          </w:p>
        </w:tc>
        <w:tc>
          <w:tcPr>
            <w:tcW w:w="1420" w:type="dxa"/>
            <w:vAlign w:val="center"/>
          </w:tcPr>
          <w:p>
            <w:pPr>
              <w:jc w:val="left"/>
            </w:pPr>
            <w:r>
              <w:rPr>
                <w:rFonts w:ascii="宋体" w:hAnsi="宋体" w:eastAsia="宋体" w:cs="宋体"/>
                <w:b w:val="0"/>
                <w:i w:val="0"/>
                <w:color w:val="000000"/>
                <w:sz w:val="9"/>
              </w:rPr>
              <w:t>其他财政事务支出</w:t>
            </w:r>
          </w:p>
        </w:tc>
        <w:tc>
          <w:tcPr>
            <w:tcW w:w="860" w:type="dxa"/>
            <w:vAlign w:val="center"/>
          </w:tcPr>
          <w:p>
            <w:pPr>
              <w:jc w:val="right"/>
            </w:pPr>
            <w:r>
              <w:rPr>
                <w:rFonts w:ascii="宋体" w:hAnsi="宋体" w:eastAsia="宋体" w:cs="宋体"/>
                <w:b w:val="0"/>
                <w:i w:val="0"/>
                <w:color w:val="000000"/>
                <w:sz w:val="9"/>
              </w:rPr>
              <w:t>318.43</w:t>
            </w:r>
          </w:p>
        </w:tc>
        <w:tc>
          <w:tcPr>
            <w:tcW w:w="900" w:type="dxa"/>
            <w:vAlign w:val="center"/>
          </w:tcPr>
          <w:p>
            <w:pPr>
              <w:jc w:val="right"/>
            </w:pPr>
            <w:r>
              <w:rPr>
                <w:rFonts w:ascii="宋体" w:hAnsi="宋体" w:eastAsia="宋体" w:cs="宋体"/>
                <w:b w:val="0"/>
                <w:i w:val="0"/>
                <w:color w:val="000000"/>
                <w:sz w:val="9"/>
              </w:rPr>
              <w:t>318.43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20107</w:t>
            </w:r>
          </w:p>
        </w:tc>
        <w:tc>
          <w:tcPr>
            <w:tcW w:w="1420" w:type="dxa"/>
            <w:vAlign w:val="center"/>
          </w:tcPr>
          <w:p>
            <w:pPr>
              <w:jc w:val="left"/>
            </w:pPr>
            <w:r>
              <w:rPr>
                <w:rFonts w:ascii="宋体" w:hAnsi="宋体" w:eastAsia="宋体" w:cs="宋体"/>
                <w:b w:val="0"/>
                <w:i w:val="0"/>
                <w:color w:val="000000"/>
                <w:sz w:val="9"/>
              </w:rPr>
              <w:t>税收事务</w:t>
            </w:r>
          </w:p>
        </w:tc>
        <w:tc>
          <w:tcPr>
            <w:tcW w:w="860" w:type="dxa"/>
            <w:vAlign w:val="center"/>
          </w:tcPr>
          <w:p>
            <w:pPr>
              <w:jc w:val="right"/>
            </w:pPr>
            <w:r>
              <w:rPr>
                <w:rFonts w:ascii="宋体" w:hAnsi="宋体" w:eastAsia="宋体" w:cs="宋体"/>
                <w:b w:val="0"/>
                <w:i w:val="0"/>
                <w:color w:val="000000"/>
                <w:sz w:val="9"/>
              </w:rPr>
              <w:t>22.53</w:t>
            </w:r>
          </w:p>
        </w:tc>
        <w:tc>
          <w:tcPr>
            <w:tcW w:w="900" w:type="dxa"/>
            <w:vAlign w:val="center"/>
          </w:tcPr>
          <w:p>
            <w:pPr>
              <w:jc w:val="right"/>
            </w:pPr>
            <w:r>
              <w:rPr>
                <w:rFonts w:ascii="宋体" w:hAnsi="宋体" w:eastAsia="宋体" w:cs="宋体"/>
                <w:b w:val="0"/>
                <w:i w:val="0"/>
                <w:color w:val="000000"/>
                <w:sz w:val="9"/>
              </w:rPr>
              <w:t>22.53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2010710</w:t>
            </w:r>
          </w:p>
        </w:tc>
        <w:tc>
          <w:tcPr>
            <w:tcW w:w="1420" w:type="dxa"/>
            <w:vAlign w:val="center"/>
          </w:tcPr>
          <w:p>
            <w:pPr>
              <w:jc w:val="left"/>
            </w:pPr>
            <w:r>
              <w:rPr>
                <w:rFonts w:ascii="宋体" w:hAnsi="宋体" w:eastAsia="宋体" w:cs="宋体"/>
                <w:b w:val="0"/>
                <w:i w:val="0"/>
                <w:color w:val="000000"/>
                <w:sz w:val="9"/>
              </w:rPr>
              <w:t>税收业务</w:t>
            </w:r>
          </w:p>
        </w:tc>
        <w:tc>
          <w:tcPr>
            <w:tcW w:w="860" w:type="dxa"/>
            <w:vAlign w:val="center"/>
          </w:tcPr>
          <w:p>
            <w:pPr>
              <w:jc w:val="right"/>
            </w:pPr>
            <w:r>
              <w:rPr>
                <w:rFonts w:ascii="宋体" w:hAnsi="宋体" w:eastAsia="宋体" w:cs="宋体"/>
                <w:b w:val="0"/>
                <w:i w:val="0"/>
                <w:color w:val="000000"/>
                <w:sz w:val="9"/>
              </w:rPr>
              <w:t>22.53</w:t>
            </w:r>
          </w:p>
        </w:tc>
        <w:tc>
          <w:tcPr>
            <w:tcW w:w="900" w:type="dxa"/>
            <w:vAlign w:val="center"/>
          </w:tcPr>
          <w:p>
            <w:pPr>
              <w:jc w:val="right"/>
            </w:pPr>
            <w:r>
              <w:rPr>
                <w:rFonts w:ascii="宋体" w:hAnsi="宋体" w:eastAsia="宋体" w:cs="宋体"/>
                <w:b w:val="0"/>
                <w:i w:val="0"/>
                <w:color w:val="000000"/>
                <w:sz w:val="9"/>
              </w:rPr>
              <w:t>22.53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20111</w:t>
            </w:r>
          </w:p>
        </w:tc>
        <w:tc>
          <w:tcPr>
            <w:tcW w:w="1420" w:type="dxa"/>
            <w:vAlign w:val="center"/>
          </w:tcPr>
          <w:p>
            <w:pPr>
              <w:jc w:val="left"/>
            </w:pPr>
            <w:r>
              <w:rPr>
                <w:rFonts w:ascii="宋体" w:hAnsi="宋体" w:eastAsia="宋体" w:cs="宋体"/>
                <w:b w:val="0"/>
                <w:i w:val="0"/>
                <w:color w:val="000000"/>
                <w:sz w:val="9"/>
              </w:rPr>
              <w:t>纪检监察事务</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2011199</w:t>
            </w:r>
          </w:p>
        </w:tc>
        <w:tc>
          <w:tcPr>
            <w:tcW w:w="1420" w:type="dxa"/>
            <w:vAlign w:val="center"/>
          </w:tcPr>
          <w:p>
            <w:pPr>
              <w:jc w:val="left"/>
            </w:pPr>
            <w:r>
              <w:rPr>
                <w:rFonts w:ascii="宋体" w:hAnsi="宋体" w:eastAsia="宋体" w:cs="宋体"/>
                <w:b w:val="0"/>
                <w:i w:val="0"/>
                <w:color w:val="000000"/>
                <w:sz w:val="9"/>
              </w:rPr>
              <w:t>其他纪检监察事务支出</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384.41</w:t>
            </w:r>
          </w:p>
        </w:tc>
        <w:tc>
          <w:tcPr>
            <w:tcW w:w="900" w:type="dxa"/>
            <w:vAlign w:val="center"/>
          </w:tcPr>
          <w:p>
            <w:pPr>
              <w:jc w:val="right"/>
            </w:pPr>
            <w:r>
              <w:rPr>
                <w:rFonts w:ascii="宋体" w:hAnsi="宋体" w:eastAsia="宋体" w:cs="宋体"/>
                <w:b w:val="0"/>
                <w:i w:val="0"/>
                <w:color w:val="000000"/>
                <w:sz w:val="9"/>
              </w:rPr>
              <w:t>384.41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384.41</w:t>
            </w:r>
          </w:p>
        </w:tc>
        <w:tc>
          <w:tcPr>
            <w:tcW w:w="900" w:type="dxa"/>
            <w:vAlign w:val="center"/>
          </w:tcPr>
          <w:p>
            <w:pPr>
              <w:jc w:val="right"/>
            </w:pPr>
            <w:r>
              <w:rPr>
                <w:rFonts w:ascii="宋体" w:hAnsi="宋体" w:eastAsia="宋体" w:cs="宋体"/>
                <w:b w:val="0"/>
                <w:i w:val="0"/>
                <w:color w:val="000000"/>
                <w:sz w:val="9"/>
              </w:rPr>
              <w:t>384.41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2080501</w:t>
            </w:r>
          </w:p>
        </w:tc>
        <w:tc>
          <w:tcPr>
            <w:tcW w:w="1420" w:type="dxa"/>
            <w:vAlign w:val="center"/>
          </w:tcPr>
          <w:p>
            <w:pPr>
              <w:jc w:val="left"/>
            </w:pPr>
            <w:r>
              <w:rPr>
                <w:rFonts w:ascii="宋体" w:hAnsi="宋体" w:eastAsia="宋体" w:cs="宋体"/>
                <w:b w:val="0"/>
                <w:i w:val="0"/>
                <w:color w:val="000000"/>
                <w:sz w:val="9"/>
              </w:rPr>
              <w:t>行政单位离退休</w:t>
            </w:r>
          </w:p>
        </w:tc>
        <w:tc>
          <w:tcPr>
            <w:tcW w:w="860" w:type="dxa"/>
            <w:vAlign w:val="center"/>
          </w:tcPr>
          <w:p>
            <w:pPr>
              <w:jc w:val="right"/>
            </w:pPr>
            <w:r>
              <w:rPr>
                <w:rFonts w:ascii="宋体" w:hAnsi="宋体" w:eastAsia="宋体" w:cs="宋体"/>
                <w:b w:val="0"/>
                <w:i w:val="0"/>
                <w:color w:val="000000"/>
                <w:sz w:val="9"/>
              </w:rPr>
              <w:t>140.89</w:t>
            </w:r>
          </w:p>
        </w:tc>
        <w:tc>
          <w:tcPr>
            <w:tcW w:w="900" w:type="dxa"/>
            <w:vAlign w:val="center"/>
          </w:tcPr>
          <w:p>
            <w:pPr>
              <w:jc w:val="right"/>
            </w:pPr>
            <w:r>
              <w:rPr>
                <w:rFonts w:ascii="宋体" w:hAnsi="宋体" w:eastAsia="宋体" w:cs="宋体"/>
                <w:b w:val="0"/>
                <w:i w:val="0"/>
                <w:color w:val="000000"/>
                <w:sz w:val="9"/>
              </w:rPr>
              <w:t>140.89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129.38</w:t>
            </w:r>
          </w:p>
        </w:tc>
        <w:tc>
          <w:tcPr>
            <w:tcW w:w="900" w:type="dxa"/>
            <w:vAlign w:val="center"/>
          </w:tcPr>
          <w:p>
            <w:pPr>
              <w:jc w:val="right"/>
            </w:pPr>
            <w:r>
              <w:rPr>
                <w:rFonts w:ascii="宋体" w:hAnsi="宋体" w:eastAsia="宋体" w:cs="宋体"/>
                <w:b w:val="0"/>
                <w:i w:val="0"/>
                <w:color w:val="000000"/>
                <w:sz w:val="9"/>
              </w:rPr>
              <w:t>129.38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90.35</w:t>
            </w:r>
          </w:p>
        </w:tc>
        <w:tc>
          <w:tcPr>
            <w:tcW w:w="900" w:type="dxa"/>
            <w:vAlign w:val="center"/>
          </w:tcPr>
          <w:p>
            <w:pPr>
              <w:jc w:val="right"/>
            </w:pPr>
            <w:r>
              <w:rPr>
                <w:rFonts w:ascii="宋体" w:hAnsi="宋体" w:eastAsia="宋体" w:cs="宋体"/>
                <w:b w:val="0"/>
                <w:i w:val="0"/>
                <w:color w:val="000000"/>
                <w:sz w:val="9"/>
              </w:rPr>
              <w:t>90.35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2080507</w:t>
            </w:r>
          </w:p>
        </w:tc>
        <w:tc>
          <w:tcPr>
            <w:tcW w:w="1420" w:type="dxa"/>
            <w:vAlign w:val="center"/>
          </w:tcPr>
          <w:p>
            <w:pPr>
              <w:jc w:val="left"/>
            </w:pPr>
            <w:r>
              <w:rPr>
                <w:rFonts w:ascii="宋体" w:hAnsi="宋体" w:eastAsia="宋体" w:cs="宋体"/>
                <w:b w:val="0"/>
                <w:i w:val="0"/>
                <w:color w:val="000000"/>
                <w:sz w:val="9"/>
              </w:rPr>
              <w:t>对机关事业单位基本养老保险基金的补助</w:t>
            </w:r>
          </w:p>
        </w:tc>
        <w:tc>
          <w:tcPr>
            <w:tcW w:w="860" w:type="dxa"/>
            <w:vAlign w:val="center"/>
          </w:tcPr>
          <w:p>
            <w:pPr>
              <w:jc w:val="right"/>
            </w:pPr>
            <w:r>
              <w:rPr>
                <w:rFonts w:ascii="宋体" w:hAnsi="宋体" w:eastAsia="宋体" w:cs="宋体"/>
                <w:b w:val="0"/>
                <w:i w:val="0"/>
                <w:color w:val="000000"/>
                <w:sz w:val="9"/>
              </w:rPr>
              <w:t>23.79</w:t>
            </w:r>
          </w:p>
        </w:tc>
        <w:tc>
          <w:tcPr>
            <w:tcW w:w="900" w:type="dxa"/>
            <w:vAlign w:val="center"/>
          </w:tcPr>
          <w:p>
            <w:pPr>
              <w:jc w:val="right"/>
            </w:pPr>
            <w:r>
              <w:rPr>
                <w:rFonts w:ascii="宋体" w:hAnsi="宋体" w:eastAsia="宋体" w:cs="宋体"/>
                <w:b w:val="0"/>
                <w:i w:val="0"/>
                <w:color w:val="000000"/>
                <w:sz w:val="9"/>
              </w:rPr>
              <w:t>23.79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5.92</w:t>
            </w:r>
          </w:p>
        </w:tc>
        <w:tc>
          <w:tcPr>
            <w:tcW w:w="900" w:type="dxa"/>
            <w:vAlign w:val="center"/>
          </w:tcPr>
          <w:p>
            <w:pPr>
              <w:jc w:val="right"/>
            </w:pPr>
            <w:r>
              <w:rPr>
                <w:rFonts w:ascii="宋体" w:hAnsi="宋体" w:eastAsia="宋体" w:cs="宋体"/>
                <w:b w:val="0"/>
                <w:i w:val="0"/>
                <w:color w:val="000000"/>
                <w:sz w:val="9"/>
              </w:rPr>
              <w:t>5.92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w:t>
            </w:r>
          </w:p>
        </w:tc>
        <w:tc>
          <w:tcPr>
            <w:tcW w:w="1420" w:type="dxa"/>
            <w:vAlign w:val="center"/>
          </w:tcPr>
          <w:p>
            <w:pPr>
              <w:jc w:val="left"/>
            </w:pPr>
            <w:r>
              <w:rPr>
                <w:rFonts w:ascii="宋体" w:hAnsi="宋体" w:eastAsia="宋体" w:cs="宋体"/>
                <w:b w:val="0"/>
                <w:i w:val="0"/>
                <w:color w:val="000000"/>
                <w:sz w:val="9"/>
              </w:rPr>
              <w:t>巩固脱贫攻坚成果衔接乡村振兴</w:t>
            </w:r>
          </w:p>
        </w:tc>
        <w:tc>
          <w:tcPr>
            <w:tcW w:w="860" w:type="dxa"/>
            <w:vAlign w:val="center"/>
          </w:tcPr>
          <w:p>
            <w:pPr>
              <w:jc w:val="right"/>
            </w:pPr>
            <w:r>
              <w:rPr>
                <w:rFonts w:ascii="宋体" w:hAnsi="宋体" w:eastAsia="宋体" w:cs="宋体"/>
                <w:b w:val="0"/>
                <w:i w:val="0"/>
                <w:color w:val="000000"/>
                <w:sz w:val="9"/>
              </w:rPr>
              <w:t>5.92</w:t>
            </w:r>
          </w:p>
        </w:tc>
        <w:tc>
          <w:tcPr>
            <w:tcW w:w="900" w:type="dxa"/>
            <w:vAlign w:val="center"/>
          </w:tcPr>
          <w:p>
            <w:pPr>
              <w:jc w:val="right"/>
            </w:pPr>
            <w:r>
              <w:rPr>
                <w:rFonts w:ascii="宋体" w:hAnsi="宋体" w:eastAsia="宋体" w:cs="宋体"/>
                <w:b w:val="0"/>
                <w:i w:val="0"/>
                <w:color w:val="000000"/>
                <w:sz w:val="9"/>
              </w:rPr>
              <w:t>5.92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2130599</w:t>
            </w:r>
          </w:p>
        </w:tc>
        <w:tc>
          <w:tcPr>
            <w:tcW w:w="1420" w:type="dxa"/>
            <w:vAlign w:val="center"/>
          </w:tcPr>
          <w:p>
            <w:pPr>
              <w:jc w:val="left"/>
            </w:pPr>
            <w:r>
              <w:rPr>
                <w:rFonts w:ascii="宋体" w:hAnsi="宋体" w:eastAsia="宋体" w:cs="宋体"/>
                <w:b w:val="0"/>
                <w:i w:val="0"/>
                <w:color w:val="000000"/>
                <w:sz w:val="9"/>
              </w:rPr>
              <w:t>其他巩固脱贫攻坚成果衔接乡村振兴支出</w:t>
            </w:r>
          </w:p>
        </w:tc>
        <w:tc>
          <w:tcPr>
            <w:tcW w:w="860" w:type="dxa"/>
            <w:vAlign w:val="center"/>
          </w:tcPr>
          <w:p>
            <w:pPr>
              <w:jc w:val="right"/>
            </w:pPr>
            <w:r>
              <w:rPr>
                <w:rFonts w:ascii="宋体" w:hAnsi="宋体" w:eastAsia="宋体" w:cs="宋体"/>
                <w:b w:val="0"/>
                <w:i w:val="0"/>
                <w:color w:val="000000"/>
                <w:sz w:val="9"/>
              </w:rPr>
              <w:t>5.92</w:t>
            </w:r>
          </w:p>
        </w:tc>
        <w:tc>
          <w:tcPr>
            <w:tcW w:w="900" w:type="dxa"/>
            <w:vAlign w:val="center"/>
          </w:tcPr>
          <w:p>
            <w:pPr>
              <w:jc w:val="right"/>
            </w:pPr>
            <w:r>
              <w:rPr>
                <w:rFonts w:ascii="宋体" w:hAnsi="宋体" w:eastAsia="宋体" w:cs="宋体"/>
                <w:b w:val="0"/>
                <w:i w:val="0"/>
                <w:color w:val="000000"/>
                <w:sz w:val="9"/>
              </w:rPr>
              <w:t>5.92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58.38</w:t>
            </w:r>
          </w:p>
        </w:tc>
        <w:tc>
          <w:tcPr>
            <w:tcW w:w="900" w:type="dxa"/>
            <w:vAlign w:val="center"/>
          </w:tcPr>
          <w:p>
            <w:pPr>
              <w:jc w:val="right"/>
            </w:pPr>
            <w:r>
              <w:rPr>
                <w:rFonts w:ascii="宋体" w:hAnsi="宋体" w:eastAsia="宋体" w:cs="宋体"/>
                <w:b w:val="0"/>
                <w:i w:val="0"/>
                <w:color w:val="000000"/>
                <w:sz w:val="9"/>
              </w:rPr>
              <w:t>58.38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58.38</w:t>
            </w:r>
          </w:p>
        </w:tc>
        <w:tc>
          <w:tcPr>
            <w:tcW w:w="900" w:type="dxa"/>
            <w:vAlign w:val="center"/>
          </w:tcPr>
          <w:p>
            <w:pPr>
              <w:jc w:val="right"/>
            </w:pPr>
            <w:r>
              <w:rPr>
                <w:rFonts w:ascii="宋体" w:hAnsi="宋体" w:eastAsia="宋体" w:cs="宋体"/>
                <w:b w:val="0"/>
                <w:i w:val="0"/>
                <w:color w:val="000000"/>
                <w:sz w:val="9"/>
              </w:rPr>
              <w:t>58.38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58.38</w:t>
            </w:r>
          </w:p>
        </w:tc>
        <w:tc>
          <w:tcPr>
            <w:tcW w:w="900" w:type="dxa"/>
            <w:vAlign w:val="center"/>
          </w:tcPr>
          <w:p>
            <w:pPr>
              <w:jc w:val="right"/>
            </w:pPr>
            <w:r>
              <w:rPr>
                <w:rFonts w:ascii="宋体" w:hAnsi="宋体" w:eastAsia="宋体" w:cs="宋体"/>
                <w:b w:val="0"/>
                <w:i w:val="0"/>
                <w:color w:val="000000"/>
                <w:sz w:val="9"/>
              </w:rPr>
              <w:t>58.38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2,530.63</w:t>
            </w:r>
          </w:p>
        </w:tc>
        <w:tc>
          <w:tcPr>
            <w:tcW w:w="1000" w:type="dxa"/>
            <w:vAlign w:val="center"/>
          </w:tcPr>
          <w:p>
            <w:pPr>
              <w:jc w:val="right"/>
            </w:pPr>
            <w:r>
              <w:rPr>
                <w:rFonts w:ascii="宋体" w:hAnsi="宋体" w:eastAsia="宋体" w:cs="宋体"/>
                <w:b w:val="0"/>
                <w:i w:val="0"/>
                <w:color w:val="000000"/>
                <w:sz w:val="11"/>
              </w:rPr>
              <w:t>1,705.89</w:t>
            </w:r>
          </w:p>
        </w:tc>
        <w:tc>
          <w:tcPr>
            <w:tcW w:w="980" w:type="dxa"/>
            <w:vAlign w:val="center"/>
          </w:tcPr>
          <w:p>
            <w:pPr>
              <w:jc w:val="right"/>
            </w:pPr>
            <w:r>
              <w:rPr>
                <w:rFonts w:ascii="宋体" w:hAnsi="宋体" w:eastAsia="宋体" w:cs="宋体"/>
                <w:b w:val="0"/>
                <w:i w:val="0"/>
                <w:color w:val="000000"/>
                <w:sz w:val="11"/>
              </w:rPr>
              <w:t>824.74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2,081.92</w:t>
            </w:r>
          </w:p>
        </w:tc>
        <w:tc>
          <w:tcPr>
            <w:tcW w:w="1000" w:type="dxa"/>
            <w:vAlign w:val="center"/>
          </w:tcPr>
          <w:p>
            <w:pPr>
              <w:jc w:val="right"/>
            </w:pPr>
            <w:r>
              <w:rPr>
                <w:rFonts w:ascii="宋体" w:hAnsi="宋体" w:eastAsia="宋体" w:cs="宋体"/>
                <w:b w:val="0"/>
                <w:i w:val="0"/>
                <w:color w:val="000000"/>
                <w:sz w:val="11"/>
              </w:rPr>
              <w:t>1,286.89</w:t>
            </w:r>
          </w:p>
        </w:tc>
        <w:tc>
          <w:tcPr>
            <w:tcW w:w="980" w:type="dxa"/>
            <w:vAlign w:val="center"/>
          </w:tcPr>
          <w:p>
            <w:pPr>
              <w:jc w:val="right"/>
            </w:pPr>
            <w:r>
              <w:rPr>
                <w:rFonts w:ascii="宋体" w:hAnsi="宋体" w:eastAsia="宋体" w:cs="宋体"/>
                <w:b w:val="0"/>
                <w:i w:val="0"/>
                <w:color w:val="000000"/>
                <w:sz w:val="11"/>
              </w:rPr>
              <w:t>795.03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2,049.39</w:t>
            </w:r>
          </w:p>
        </w:tc>
        <w:tc>
          <w:tcPr>
            <w:tcW w:w="1000" w:type="dxa"/>
            <w:vAlign w:val="center"/>
          </w:tcPr>
          <w:p>
            <w:pPr>
              <w:jc w:val="right"/>
            </w:pPr>
            <w:r>
              <w:rPr>
                <w:rFonts w:ascii="宋体" w:hAnsi="宋体" w:eastAsia="宋体" w:cs="宋体"/>
                <w:b w:val="0"/>
                <w:i w:val="0"/>
                <w:color w:val="000000"/>
                <w:sz w:val="11"/>
              </w:rPr>
              <w:t>1,286.89</w:t>
            </w:r>
          </w:p>
        </w:tc>
        <w:tc>
          <w:tcPr>
            <w:tcW w:w="980" w:type="dxa"/>
            <w:vAlign w:val="center"/>
          </w:tcPr>
          <w:p>
            <w:pPr>
              <w:jc w:val="right"/>
            </w:pPr>
            <w:r>
              <w:rPr>
                <w:rFonts w:ascii="宋体" w:hAnsi="宋体" w:eastAsia="宋体" w:cs="宋体"/>
                <w:b w:val="0"/>
                <w:i w:val="0"/>
                <w:color w:val="000000"/>
                <w:sz w:val="11"/>
              </w:rPr>
              <w:t>762.50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1,305.96</w:t>
            </w:r>
          </w:p>
        </w:tc>
        <w:tc>
          <w:tcPr>
            <w:tcW w:w="1000" w:type="dxa"/>
            <w:vAlign w:val="center"/>
          </w:tcPr>
          <w:p>
            <w:pPr>
              <w:jc w:val="right"/>
            </w:pPr>
            <w:r>
              <w:rPr>
                <w:rFonts w:ascii="宋体" w:hAnsi="宋体" w:eastAsia="宋体" w:cs="宋体"/>
                <w:b w:val="0"/>
                <w:i w:val="0"/>
                <w:color w:val="000000"/>
                <w:sz w:val="11"/>
              </w:rPr>
              <w:t>1,286.89</w:t>
            </w:r>
          </w:p>
        </w:tc>
        <w:tc>
          <w:tcPr>
            <w:tcW w:w="980" w:type="dxa"/>
            <w:vAlign w:val="center"/>
          </w:tcPr>
          <w:p>
            <w:pPr>
              <w:jc w:val="right"/>
            </w:pPr>
            <w:r>
              <w:rPr>
                <w:rFonts w:ascii="宋体" w:hAnsi="宋体" w:eastAsia="宋体" w:cs="宋体"/>
                <w:b w:val="0"/>
                <w:i w:val="0"/>
                <w:color w:val="000000"/>
                <w:sz w:val="11"/>
              </w:rPr>
              <w:t>19.07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2010608</w:t>
            </w:r>
          </w:p>
        </w:tc>
        <w:tc>
          <w:tcPr>
            <w:tcW w:w="1760" w:type="dxa"/>
            <w:vAlign w:val="center"/>
          </w:tcPr>
          <w:p>
            <w:pPr>
              <w:jc w:val="left"/>
            </w:pPr>
            <w:r>
              <w:rPr>
                <w:rFonts w:ascii="宋体" w:hAnsi="宋体" w:eastAsia="宋体" w:cs="宋体"/>
                <w:b w:val="0"/>
                <w:i w:val="0"/>
                <w:color w:val="000000"/>
                <w:sz w:val="11"/>
              </w:rPr>
              <w:t>财政委托业务支出</w:t>
            </w:r>
          </w:p>
        </w:tc>
        <w:tc>
          <w:tcPr>
            <w:tcW w:w="940" w:type="dxa"/>
            <w:vAlign w:val="center"/>
          </w:tcPr>
          <w:p>
            <w:pPr>
              <w:jc w:val="right"/>
            </w:pPr>
            <w:r>
              <w:rPr>
                <w:rFonts w:ascii="宋体" w:hAnsi="宋体" w:eastAsia="宋体" w:cs="宋体"/>
                <w:b w:val="0"/>
                <w:i w:val="0"/>
                <w:color w:val="000000"/>
                <w:sz w:val="11"/>
              </w:rPr>
              <w:t>425.00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425.00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2010699</w:t>
            </w:r>
          </w:p>
        </w:tc>
        <w:tc>
          <w:tcPr>
            <w:tcW w:w="1760" w:type="dxa"/>
            <w:vAlign w:val="center"/>
          </w:tcPr>
          <w:p>
            <w:pPr>
              <w:jc w:val="left"/>
            </w:pPr>
            <w:r>
              <w:rPr>
                <w:rFonts w:ascii="宋体" w:hAnsi="宋体" w:eastAsia="宋体" w:cs="宋体"/>
                <w:b w:val="0"/>
                <w:i w:val="0"/>
                <w:color w:val="000000"/>
                <w:sz w:val="11"/>
              </w:rPr>
              <w:t>其他财政事务支出</w:t>
            </w:r>
          </w:p>
        </w:tc>
        <w:tc>
          <w:tcPr>
            <w:tcW w:w="940" w:type="dxa"/>
            <w:vAlign w:val="center"/>
          </w:tcPr>
          <w:p>
            <w:pPr>
              <w:jc w:val="right"/>
            </w:pPr>
            <w:r>
              <w:rPr>
                <w:rFonts w:ascii="宋体" w:hAnsi="宋体" w:eastAsia="宋体" w:cs="宋体"/>
                <w:b w:val="0"/>
                <w:i w:val="0"/>
                <w:color w:val="000000"/>
                <w:sz w:val="11"/>
              </w:rPr>
              <w:t>318.43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318.43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20107</w:t>
            </w:r>
          </w:p>
        </w:tc>
        <w:tc>
          <w:tcPr>
            <w:tcW w:w="1760" w:type="dxa"/>
            <w:vAlign w:val="center"/>
          </w:tcPr>
          <w:p>
            <w:pPr>
              <w:jc w:val="left"/>
            </w:pPr>
            <w:r>
              <w:rPr>
                <w:rFonts w:ascii="宋体" w:hAnsi="宋体" w:eastAsia="宋体" w:cs="宋体"/>
                <w:b w:val="0"/>
                <w:i w:val="0"/>
                <w:color w:val="000000"/>
                <w:sz w:val="11"/>
              </w:rPr>
              <w:t>税收事务</w:t>
            </w:r>
          </w:p>
        </w:tc>
        <w:tc>
          <w:tcPr>
            <w:tcW w:w="940" w:type="dxa"/>
            <w:vAlign w:val="center"/>
          </w:tcPr>
          <w:p>
            <w:pPr>
              <w:jc w:val="right"/>
            </w:pPr>
            <w:r>
              <w:rPr>
                <w:rFonts w:ascii="宋体" w:hAnsi="宋体" w:eastAsia="宋体" w:cs="宋体"/>
                <w:b w:val="0"/>
                <w:i w:val="0"/>
                <w:color w:val="000000"/>
                <w:sz w:val="11"/>
              </w:rPr>
              <w:t>22.53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22.53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2010710</w:t>
            </w:r>
          </w:p>
        </w:tc>
        <w:tc>
          <w:tcPr>
            <w:tcW w:w="1760" w:type="dxa"/>
            <w:vAlign w:val="center"/>
          </w:tcPr>
          <w:p>
            <w:pPr>
              <w:jc w:val="left"/>
            </w:pPr>
            <w:r>
              <w:rPr>
                <w:rFonts w:ascii="宋体" w:hAnsi="宋体" w:eastAsia="宋体" w:cs="宋体"/>
                <w:b w:val="0"/>
                <w:i w:val="0"/>
                <w:color w:val="000000"/>
                <w:sz w:val="11"/>
              </w:rPr>
              <w:t>税收业务</w:t>
            </w:r>
          </w:p>
        </w:tc>
        <w:tc>
          <w:tcPr>
            <w:tcW w:w="940" w:type="dxa"/>
            <w:vAlign w:val="center"/>
          </w:tcPr>
          <w:p>
            <w:pPr>
              <w:jc w:val="right"/>
            </w:pPr>
            <w:r>
              <w:rPr>
                <w:rFonts w:ascii="宋体" w:hAnsi="宋体" w:eastAsia="宋体" w:cs="宋体"/>
                <w:b w:val="0"/>
                <w:i w:val="0"/>
                <w:color w:val="000000"/>
                <w:sz w:val="11"/>
              </w:rPr>
              <w:t>22.53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22.53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20111</w:t>
            </w:r>
          </w:p>
        </w:tc>
        <w:tc>
          <w:tcPr>
            <w:tcW w:w="1760" w:type="dxa"/>
            <w:vAlign w:val="center"/>
          </w:tcPr>
          <w:p>
            <w:pPr>
              <w:jc w:val="left"/>
            </w:pPr>
            <w:r>
              <w:rPr>
                <w:rFonts w:ascii="宋体" w:hAnsi="宋体" w:eastAsia="宋体" w:cs="宋体"/>
                <w:b w:val="0"/>
                <w:i w:val="0"/>
                <w:color w:val="000000"/>
                <w:sz w:val="11"/>
              </w:rPr>
              <w:t>纪检监察事务</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2011199</w:t>
            </w:r>
          </w:p>
        </w:tc>
        <w:tc>
          <w:tcPr>
            <w:tcW w:w="1760" w:type="dxa"/>
            <w:vAlign w:val="center"/>
          </w:tcPr>
          <w:p>
            <w:pPr>
              <w:jc w:val="left"/>
            </w:pPr>
            <w:r>
              <w:rPr>
                <w:rFonts w:ascii="宋体" w:hAnsi="宋体" w:eastAsia="宋体" w:cs="宋体"/>
                <w:b w:val="0"/>
                <w:i w:val="0"/>
                <w:color w:val="000000"/>
                <w:sz w:val="11"/>
              </w:rPr>
              <w:t>其他纪检监察事务支出</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384.41</w:t>
            </w:r>
          </w:p>
        </w:tc>
        <w:tc>
          <w:tcPr>
            <w:tcW w:w="1000" w:type="dxa"/>
            <w:vAlign w:val="center"/>
          </w:tcPr>
          <w:p>
            <w:pPr>
              <w:jc w:val="right"/>
            </w:pPr>
            <w:r>
              <w:rPr>
                <w:rFonts w:ascii="宋体" w:hAnsi="宋体" w:eastAsia="宋体" w:cs="宋体"/>
                <w:b w:val="0"/>
                <w:i w:val="0"/>
                <w:color w:val="000000"/>
                <w:sz w:val="11"/>
              </w:rPr>
              <w:t>360.62</w:t>
            </w:r>
          </w:p>
        </w:tc>
        <w:tc>
          <w:tcPr>
            <w:tcW w:w="980" w:type="dxa"/>
            <w:vAlign w:val="center"/>
          </w:tcPr>
          <w:p>
            <w:pPr>
              <w:jc w:val="right"/>
            </w:pPr>
            <w:r>
              <w:rPr>
                <w:rFonts w:ascii="宋体" w:hAnsi="宋体" w:eastAsia="宋体" w:cs="宋体"/>
                <w:b w:val="0"/>
                <w:i w:val="0"/>
                <w:color w:val="000000"/>
                <w:sz w:val="11"/>
              </w:rPr>
              <w:t>23.79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384.41</w:t>
            </w:r>
          </w:p>
        </w:tc>
        <w:tc>
          <w:tcPr>
            <w:tcW w:w="1000" w:type="dxa"/>
            <w:vAlign w:val="center"/>
          </w:tcPr>
          <w:p>
            <w:pPr>
              <w:jc w:val="right"/>
            </w:pPr>
            <w:r>
              <w:rPr>
                <w:rFonts w:ascii="宋体" w:hAnsi="宋体" w:eastAsia="宋体" w:cs="宋体"/>
                <w:b w:val="0"/>
                <w:i w:val="0"/>
                <w:color w:val="000000"/>
                <w:sz w:val="11"/>
              </w:rPr>
              <w:t>360.62</w:t>
            </w:r>
          </w:p>
        </w:tc>
        <w:tc>
          <w:tcPr>
            <w:tcW w:w="980" w:type="dxa"/>
            <w:vAlign w:val="center"/>
          </w:tcPr>
          <w:p>
            <w:pPr>
              <w:jc w:val="right"/>
            </w:pPr>
            <w:r>
              <w:rPr>
                <w:rFonts w:ascii="宋体" w:hAnsi="宋体" w:eastAsia="宋体" w:cs="宋体"/>
                <w:b w:val="0"/>
                <w:i w:val="0"/>
                <w:color w:val="000000"/>
                <w:sz w:val="11"/>
              </w:rPr>
              <w:t>23.79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2080501</w:t>
            </w:r>
          </w:p>
        </w:tc>
        <w:tc>
          <w:tcPr>
            <w:tcW w:w="1760" w:type="dxa"/>
            <w:vAlign w:val="center"/>
          </w:tcPr>
          <w:p>
            <w:pPr>
              <w:jc w:val="left"/>
            </w:pPr>
            <w:r>
              <w:rPr>
                <w:rFonts w:ascii="宋体" w:hAnsi="宋体" w:eastAsia="宋体" w:cs="宋体"/>
                <w:b w:val="0"/>
                <w:i w:val="0"/>
                <w:color w:val="000000"/>
                <w:sz w:val="11"/>
              </w:rPr>
              <w:t>行政单位离退休</w:t>
            </w:r>
          </w:p>
        </w:tc>
        <w:tc>
          <w:tcPr>
            <w:tcW w:w="940" w:type="dxa"/>
            <w:vAlign w:val="center"/>
          </w:tcPr>
          <w:p>
            <w:pPr>
              <w:jc w:val="right"/>
            </w:pPr>
            <w:r>
              <w:rPr>
                <w:rFonts w:ascii="宋体" w:hAnsi="宋体" w:eastAsia="宋体" w:cs="宋体"/>
                <w:b w:val="0"/>
                <w:i w:val="0"/>
                <w:color w:val="000000"/>
                <w:sz w:val="11"/>
              </w:rPr>
              <w:t>140.89</w:t>
            </w:r>
          </w:p>
        </w:tc>
        <w:tc>
          <w:tcPr>
            <w:tcW w:w="1000" w:type="dxa"/>
            <w:vAlign w:val="center"/>
          </w:tcPr>
          <w:p>
            <w:pPr>
              <w:jc w:val="right"/>
            </w:pPr>
            <w:r>
              <w:rPr>
                <w:rFonts w:ascii="宋体" w:hAnsi="宋体" w:eastAsia="宋体" w:cs="宋体"/>
                <w:b w:val="0"/>
                <w:i w:val="0"/>
                <w:color w:val="000000"/>
                <w:sz w:val="11"/>
              </w:rPr>
              <w:t>140.89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129.38</w:t>
            </w:r>
          </w:p>
        </w:tc>
        <w:tc>
          <w:tcPr>
            <w:tcW w:w="1000" w:type="dxa"/>
            <w:vAlign w:val="center"/>
          </w:tcPr>
          <w:p>
            <w:pPr>
              <w:jc w:val="right"/>
            </w:pPr>
            <w:r>
              <w:rPr>
                <w:rFonts w:ascii="宋体" w:hAnsi="宋体" w:eastAsia="宋体" w:cs="宋体"/>
                <w:b w:val="0"/>
                <w:i w:val="0"/>
                <w:color w:val="000000"/>
                <w:sz w:val="11"/>
              </w:rPr>
              <w:t>129.38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90.35</w:t>
            </w:r>
          </w:p>
        </w:tc>
        <w:tc>
          <w:tcPr>
            <w:tcW w:w="1000" w:type="dxa"/>
            <w:vAlign w:val="center"/>
          </w:tcPr>
          <w:p>
            <w:pPr>
              <w:jc w:val="right"/>
            </w:pPr>
            <w:r>
              <w:rPr>
                <w:rFonts w:ascii="宋体" w:hAnsi="宋体" w:eastAsia="宋体" w:cs="宋体"/>
                <w:b w:val="0"/>
                <w:i w:val="0"/>
                <w:color w:val="000000"/>
                <w:sz w:val="11"/>
              </w:rPr>
              <w:t>90.35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2080507</w:t>
            </w:r>
          </w:p>
        </w:tc>
        <w:tc>
          <w:tcPr>
            <w:tcW w:w="1760" w:type="dxa"/>
            <w:vAlign w:val="center"/>
          </w:tcPr>
          <w:p>
            <w:pPr>
              <w:jc w:val="left"/>
            </w:pPr>
            <w:r>
              <w:rPr>
                <w:rFonts w:ascii="宋体" w:hAnsi="宋体" w:eastAsia="宋体" w:cs="宋体"/>
                <w:b w:val="0"/>
                <w:i w:val="0"/>
                <w:color w:val="000000"/>
                <w:sz w:val="11"/>
              </w:rPr>
              <w:t>对机关事业单位基本养老保险基金的补助</w:t>
            </w:r>
          </w:p>
        </w:tc>
        <w:tc>
          <w:tcPr>
            <w:tcW w:w="940" w:type="dxa"/>
            <w:vAlign w:val="center"/>
          </w:tcPr>
          <w:p>
            <w:pPr>
              <w:jc w:val="right"/>
            </w:pPr>
            <w:r>
              <w:rPr>
                <w:rFonts w:ascii="宋体" w:hAnsi="宋体" w:eastAsia="宋体" w:cs="宋体"/>
                <w:b w:val="0"/>
                <w:i w:val="0"/>
                <w:color w:val="000000"/>
                <w:sz w:val="11"/>
              </w:rPr>
              <w:t>23.79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5.92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w:t>
            </w:r>
          </w:p>
        </w:tc>
        <w:tc>
          <w:tcPr>
            <w:tcW w:w="1760" w:type="dxa"/>
            <w:vAlign w:val="center"/>
          </w:tcPr>
          <w:p>
            <w:pPr>
              <w:jc w:val="left"/>
            </w:pPr>
            <w:r>
              <w:rPr>
                <w:rFonts w:ascii="宋体" w:hAnsi="宋体" w:eastAsia="宋体" w:cs="宋体"/>
                <w:b w:val="0"/>
                <w:i w:val="0"/>
                <w:color w:val="000000"/>
                <w:sz w:val="11"/>
              </w:rPr>
              <w:t>巩固脱贫攻坚成果衔接乡村振兴</w:t>
            </w:r>
          </w:p>
        </w:tc>
        <w:tc>
          <w:tcPr>
            <w:tcW w:w="940" w:type="dxa"/>
            <w:vAlign w:val="center"/>
          </w:tcPr>
          <w:p>
            <w:pPr>
              <w:jc w:val="right"/>
            </w:pPr>
            <w:r>
              <w:rPr>
                <w:rFonts w:ascii="宋体" w:hAnsi="宋体" w:eastAsia="宋体" w:cs="宋体"/>
                <w:b w:val="0"/>
                <w:i w:val="0"/>
                <w:color w:val="000000"/>
                <w:sz w:val="11"/>
              </w:rPr>
              <w:t>5.92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2130599</w:t>
            </w:r>
          </w:p>
        </w:tc>
        <w:tc>
          <w:tcPr>
            <w:tcW w:w="1760" w:type="dxa"/>
            <w:vAlign w:val="center"/>
          </w:tcPr>
          <w:p>
            <w:pPr>
              <w:jc w:val="left"/>
            </w:pPr>
            <w:r>
              <w:rPr>
                <w:rFonts w:ascii="宋体" w:hAnsi="宋体" w:eastAsia="宋体" w:cs="宋体"/>
                <w:b w:val="0"/>
                <w:i w:val="0"/>
                <w:color w:val="000000"/>
                <w:sz w:val="11"/>
              </w:rPr>
              <w:t>其他巩固脱贫攻坚成果衔接乡村振兴支出</w:t>
            </w:r>
          </w:p>
        </w:tc>
        <w:tc>
          <w:tcPr>
            <w:tcW w:w="940" w:type="dxa"/>
            <w:vAlign w:val="center"/>
          </w:tcPr>
          <w:p>
            <w:pPr>
              <w:jc w:val="right"/>
            </w:pPr>
            <w:r>
              <w:rPr>
                <w:rFonts w:ascii="宋体" w:hAnsi="宋体" w:eastAsia="宋体" w:cs="宋体"/>
                <w:b w:val="0"/>
                <w:i w:val="0"/>
                <w:color w:val="000000"/>
                <w:sz w:val="11"/>
              </w:rPr>
              <w:t>5.92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58.38</w:t>
            </w:r>
          </w:p>
        </w:tc>
        <w:tc>
          <w:tcPr>
            <w:tcW w:w="1000" w:type="dxa"/>
            <w:vAlign w:val="center"/>
          </w:tcPr>
          <w:p>
            <w:pPr>
              <w:jc w:val="right"/>
            </w:pPr>
            <w:r>
              <w:rPr>
                <w:rFonts w:ascii="宋体" w:hAnsi="宋体" w:eastAsia="宋体" w:cs="宋体"/>
                <w:b w:val="0"/>
                <w:i w:val="0"/>
                <w:color w:val="000000"/>
                <w:sz w:val="11"/>
              </w:rPr>
              <w:t>58.38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58.38</w:t>
            </w:r>
          </w:p>
        </w:tc>
        <w:tc>
          <w:tcPr>
            <w:tcW w:w="1000" w:type="dxa"/>
            <w:vAlign w:val="center"/>
          </w:tcPr>
          <w:p>
            <w:pPr>
              <w:jc w:val="right"/>
            </w:pPr>
            <w:r>
              <w:rPr>
                <w:rFonts w:ascii="宋体" w:hAnsi="宋体" w:eastAsia="宋体" w:cs="宋体"/>
                <w:b w:val="0"/>
                <w:i w:val="0"/>
                <w:color w:val="000000"/>
                <w:sz w:val="11"/>
              </w:rPr>
              <w:t>58.38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58.38</w:t>
            </w:r>
          </w:p>
        </w:tc>
        <w:tc>
          <w:tcPr>
            <w:tcW w:w="1000" w:type="dxa"/>
            <w:vAlign w:val="center"/>
          </w:tcPr>
          <w:p>
            <w:pPr>
              <w:jc w:val="right"/>
            </w:pPr>
            <w:r>
              <w:rPr>
                <w:rFonts w:ascii="宋体" w:hAnsi="宋体" w:eastAsia="宋体" w:cs="宋体"/>
                <w:b w:val="0"/>
                <w:i w:val="0"/>
                <w:color w:val="000000"/>
                <w:sz w:val="11"/>
              </w:rPr>
              <w:t>58.38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2,530.63</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2,081.92</w:t>
            </w:r>
          </w:p>
        </w:tc>
        <w:tc>
          <w:tcPr>
            <w:tcW w:w="1460" w:type="dxa"/>
            <w:vAlign w:val="center"/>
          </w:tcPr>
          <w:p>
            <w:pPr>
              <w:jc w:val="right"/>
            </w:pPr>
            <w:r>
              <w:rPr>
                <w:rFonts w:ascii="宋体" w:hAnsi="宋体" w:eastAsia="宋体" w:cs="宋体"/>
                <w:b w:val="0"/>
                <w:i w:val="0"/>
                <w:color w:val="000000"/>
                <w:sz w:val="17"/>
              </w:rPr>
              <w:t>2,081.92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384.41</w:t>
            </w:r>
          </w:p>
        </w:tc>
        <w:tc>
          <w:tcPr>
            <w:tcW w:w="1460" w:type="dxa"/>
            <w:vAlign w:val="center"/>
          </w:tcPr>
          <w:p>
            <w:pPr>
              <w:jc w:val="right"/>
            </w:pPr>
            <w:r>
              <w:rPr>
                <w:rFonts w:ascii="宋体" w:hAnsi="宋体" w:eastAsia="宋体" w:cs="宋体"/>
                <w:b w:val="0"/>
                <w:i w:val="0"/>
                <w:color w:val="000000"/>
                <w:sz w:val="17"/>
              </w:rPr>
              <w:t>384.41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5.92</w:t>
            </w:r>
          </w:p>
        </w:tc>
        <w:tc>
          <w:tcPr>
            <w:tcW w:w="1460" w:type="dxa"/>
            <w:vAlign w:val="center"/>
          </w:tcPr>
          <w:p>
            <w:pPr>
              <w:jc w:val="right"/>
            </w:pPr>
            <w:r>
              <w:rPr>
                <w:rFonts w:ascii="宋体" w:hAnsi="宋体" w:eastAsia="宋体" w:cs="宋体"/>
                <w:b w:val="0"/>
                <w:i w:val="0"/>
                <w:color w:val="000000"/>
                <w:sz w:val="17"/>
              </w:rPr>
              <w:t>5.92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58.38</w:t>
            </w:r>
          </w:p>
        </w:tc>
        <w:tc>
          <w:tcPr>
            <w:tcW w:w="1460" w:type="dxa"/>
            <w:vAlign w:val="center"/>
          </w:tcPr>
          <w:p>
            <w:pPr>
              <w:jc w:val="right"/>
            </w:pPr>
            <w:r>
              <w:rPr>
                <w:rFonts w:ascii="宋体" w:hAnsi="宋体" w:eastAsia="宋体" w:cs="宋体"/>
                <w:b w:val="0"/>
                <w:i w:val="0"/>
                <w:color w:val="000000"/>
                <w:sz w:val="17"/>
              </w:rPr>
              <w:t>58.38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2,530.63</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2,530.63</w:t>
            </w:r>
          </w:p>
        </w:tc>
        <w:tc>
          <w:tcPr>
            <w:tcW w:w="1460" w:type="dxa"/>
            <w:vAlign w:val="center"/>
          </w:tcPr>
          <w:p>
            <w:pPr>
              <w:jc w:val="right"/>
            </w:pPr>
            <w:r>
              <w:rPr>
                <w:rFonts w:ascii="宋体" w:hAnsi="宋体" w:eastAsia="宋体" w:cs="宋体"/>
                <w:b w:val="0"/>
                <w:i w:val="0"/>
                <w:color w:val="000000"/>
                <w:sz w:val="17"/>
              </w:rPr>
              <w:t>2,530.63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2,530.63</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2,530.63</w:t>
            </w:r>
          </w:p>
        </w:tc>
        <w:tc>
          <w:tcPr>
            <w:tcW w:w="1460" w:type="dxa"/>
            <w:vAlign w:val="center"/>
          </w:tcPr>
          <w:p>
            <w:pPr>
              <w:jc w:val="right"/>
            </w:pPr>
            <w:r>
              <w:rPr>
                <w:rFonts w:ascii="宋体" w:hAnsi="宋体" w:eastAsia="宋体" w:cs="宋体"/>
                <w:b w:val="0"/>
                <w:i w:val="0"/>
                <w:color w:val="000000"/>
                <w:sz w:val="17"/>
              </w:rPr>
              <w:t>2,530.63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2,530.63</w:t>
            </w:r>
          </w:p>
        </w:tc>
        <w:tc>
          <w:tcPr>
            <w:tcW w:w="1520" w:type="dxa"/>
            <w:vAlign w:val="center"/>
          </w:tcPr>
          <w:p>
            <w:pPr>
              <w:jc w:val="right"/>
            </w:pPr>
            <w:r>
              <w:rPr>
                <w:rFonts w:ascii="宋体" w:hAnsi="宋体" w:eastAsia="宋体" w:cs="宋体"/>
                <w:b w:val="0"/>
                <w:i w:val="0"/>
                <w:color w:val="000000"/>
                <w:sz w:val="16"/>
              </w:rPr>
              <w:t>1,705.89</w:t>
            </w:r>
          </w:p>
        </w:tc>
        <w:tc>
          <w:tcPr>
            <w:tcW w:w="1526" w:type="dxa"/>
            <w:vAlign w:val="center"/>
          </w:tcPr>
          <w:p>
            <w:pPr>
              <w:jc w:val="right"/>
            </w:pPr>
            <w:r>
              <w:rPr>
                <w:rFonts w:ascii="宋体" w:hAnsi="宋体" w:eastAsia="宋体" w:cs="宋体"/>
                <w:b w:val="0"/>
                <w:i w:val="0"/>
                <w:color w:val="000000"/>
                <w:sz w:val="16"/>
              </w:rPr>
              <w:t>824.74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2,081.92</w:t>
            </w:r>
          </w:p>
        </w:tc>
        <w:tc>
          <w:tcPr>
            <w:tcW w:w="1520" w:type="dxa"/>
            <w:vAlign w:val="center"/>
          </w:tcPr>
          <w:p>
            <w:pPr>
              <w:jc w:val="right"/>
            </w:pPr>
            <w:r>
              <w:rPr>
                <w:rFonts w:ascii="宋体" w:hAnsi="宋体" w:eastAsia="宋体" w:cs="宋体"/>
                <w:b w:val="0"/>
                <w:i w:val="0"/>
                <w:color w:val="000000"/>
                <w:sz w:val="16"/>
              </w:rPr>
              <w:t>1,286.89</w:t>
            </w:r>
          </w:p>
        </w:tc>
        <w:tc>
          <w:tcPr>
            <w:tcW w:w="1526" w:type="dxa"/>
            <w:vAlign w:val="center"/>
          </w:tcPr>
          <w:p>
            <w:pPr>
              <w:jc w:val="right"/>
            </w:pPr>
            <w:r>
              <w:rPr>
                <w:rFonts w:ascii="宋体" w:hAnsi="宋体" w:eastAsia="宋体" w:cs="宋体"/>
                <w:b w:val="0"/>
                <w:i w:val="0"/>
                <w:color w:val="000000"/>
                <w:sz w:val="16"/>
              </w:rPr>
              <w:t>795.03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2,049.39</w:t>
            </w:r>
          </w:p>
        </w:tc>
        <w:tc>
          <w:tcPr>
            <w:tcW w:w="1520" w:type="dxa"/>
            <w:vAlign w:val="center"/>
          </w:tcPr>
          <w:p>
            <w:pPr>
              <w:jc w:val="right"/>
            </w:pPr>
            <w:r>
              <w:rPr>
                <w:rFonts w:ascii="宋体" w:hAnsi="宋体" w:eastAsia="宋体" w:cs="宋体"/>
                <w:b w:val="0"/>
                <w:i w:val="0"/>
                <w:color w:val="000000"/>
                <w:sz w:val="16"/>
              </w:rPr>
              <w:t>1,286.89</w:t>
            </w:r>
          </w:p>
        </w:tc>
        <w:tc>
          <w:tcPr>
            <w:tcW w:w="1526" w:type="dxa"/>
            <w:vAlign w:val="center"/>
          </w:tcPr>
          <w:p>
            <w:pPr>
              <w:jc w:val="right"/>
            </w:pPr>
            <w:r>
              <w:rPr>
                <w:rFonts w:ascii="宋体" w:hAnsi="宋体" w:eastAsia="宋体" w:cs="宋体"/>
                <w:b w:val="0"/>
                <w:i w:val="0"/>
                <w:color w:val="000000"/>
                <w:sz w:val="16"/>
              </w:rPr>
              <w:t>762.50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1,305.96</w:t>
            </w:r>
          </w:p>
        </w:tc>
        <w:tc>
          <w:tcPr>
            <w:tcW w:w="1520" w:type="dxa"/>
            <w:vAlign w:val="center"/>
          </w:tcPr>
          <w:p>
            <w:pPr>
              <w:jc w:val="right"/>
            </w:pPr>
            <w:r>
              <w:rPr>
                <w:rFonts w:ascii="宋体" w:hAnsi="宋体" w:eastAsia="宋体" w:cs="宋体"/>
                <w:b w:val="0"/>
                <w:i w:val="0"/>
                <w:color w:val="000000"/>
                <w:sz w:val="16"/>
              </w:rPr>
              <w:t>1,286.89</w:t>
            </w:r>
          </w:p>
        </w:tc>
        <w:tc>
          <w:tcPr>
            <w:tcW w:w="1526" w:type="dxa"/>
            <w:vAlign w:val="center"/>
          </w:tcPr>
          <w:p>
            <w:pPr>
              <w:jc w:val="right"/>
            </w:pPr>
            <w:r>
              <w:rPr>
                <w:rFonts w:ascii="宋体" w:hAnsi="宋体" w:eastAsia="宋体" w:cs="宋体"/>
                <w:b w:val="0"/>
                <w:i w:val="0"/>
                <w:color w:val="000000"/>
                <w:sz w:val="16"/>
              </w:rPr>
              <w:t>19.07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2010608</w:t>
            </w:r>
          </w:p>
        </w:tc>
        <w:tc>
          <w:tcPr>
            <w:tcW w:w="2700" w:type="dxa"/>
            <w:vAlign w:val="center"/>
          </w:tcPr>
          <w:p>
            <w:pPr>
              <w:jc w:val="left"/>
            </w:pPr>
            <w:r>
              <w:rPr>
                <w:rFonts w:ascii="宋体" w:hAnsi="宋体" w:eastAsia="宋体" w:cs="宋体"/>
                <w:b w:val="0"/>
                <w:i w:val="0"/>
                <w:color w:val="000000"/>
                <w:sz w:val="16"/>
              </w:rPr>
              <w:t>财政委托业务支出</w:t>
            </w:r>
          </w:p>
        </w:tc>
        <w:tc>
          <w:tcPr>
            <w:tcW w:w="1420" w:type="dxa"/>
            <w:vAlign w:val="center"/>
          </w:tcPr>
          <w:p>
            <w:pPr>
              <w:jc w:val="right"/>
            </w:pPr>
            <w:r>
              <w:rPr>
                <w:rFonts w:ascii="宋体" w:hAnsi="宋体" w:eastAsia="宋体" w:cs="宋体"/>
                <w:b w:val="0"/>
                <w:i w:val="0"/>
                <w:color w:val="000000"/>
                <w:sz w:val="16"/>
              </w:rPr>
              <w:t>425.00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2010699</w:t>
            </w:r>
          </w:p>
        </w:tc>
        <w:tc>
          <w:tcPr>
            <w:tcW w:w="2700" w:type="dxa"/>
            <w:vAlign w:val="center"/>
          </w:tcPr>
          <w:p>
            <w:pPr>
              <w:jc w:val="left"/>
            </w:pPr>
            <w:r>
              <w:rPr>
                <w:rFonts w:ascii="宋体" w:hAnsi="宋体" w:eastAsia="宋体" w:cs="宋体"/>
                <w:b w:val="0"/>
                <w:i w:val="0"/>
                <w:color w:val="000000"/>
                <w:sz w:val="16"/>
              </w:rPr>
              <w:t>其他财政事务支出</w:t>
            </w:r>
          </w:p>
        </w:tc>
        <w:tc>
          <w:tcPr>
            <w:tcW w:w="1420" w:type="dxa"/>
            <w:vAlign w:val="center"/>
          </w:tcPr>
          <w:p>
            <w:pPr>
              <w:jc w:val="right"/>
            </w:pPr>
            <w:r>
              <w:rPr>
                <w:rFonts w:ascii="宋体" w:hAnsi="宋体" w:eastAsia="宋体" w:cs="宋体"/>
                <w:b w:val="0"/>
                <w:i w:val="0"/>
                <w:color w:val="000000"/>
                <w:sz w:val="16"/>
              </w:rPr>
              <w:t>318.43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318.43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20107</w:t>
            </w:r>
          </w:p>
        </w:tc>
        <w:tc>
          <w:tcPr>
            <w:tcW w:w="2700" w:type="dxa"/>
            <w:vAlign w:val="center"/>
          </w:tcPr>
          <w:p>
            <w:pPr>
              <w:jc w:val="left"/>
            </w:pPr>
            <w:r>
              <w:rPr>
                <w:rFonts w:ascii="宋体" w:hAnsi="宋体" w:eastAsia="宋体" w:cs="宋体"/>
                <w:b w:val="0"/>
                <w:i w:val="0"/>
                <w:color w:val="000000"/>
                <w:sz w:val="16"/>
              </w:rPr>
              <w:t>税收事务</w:t>
            </w:r>
          </w:p>
        </w:tc>
        <w:tc>
          <w:tcPr>
            <w:tcW w:w="1420" w:type="dxa"/>
            <w:vAlign w:val="center"/>
          </w:tcPr>
          <w:p>
            <w:pPr>
              <w:jc w:val="right"/>
            </w:pPr>
            <w:r>
              <w:rPr>
                <w:rFonts w:ascii="宋体" w:hAnsi="宋体" w:eastAsia="宋体" w:cs="宋体"/>
                <w:b w:val="0"/>
                <w:i w:val="0"/>
                <w:color w:val="000000"/>
                <w:sz w:val="16"/>
              </w:rPr>
              <w:t>22.53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2010710</w:t>
            </w:r>
          </w:p>
        </w:tc>
        <w:tc>
          <w:tcPr>
            <w:tcW w:w="2700" w:type="dxa"/>
            <w:vAlign w:val="center"/>
          </w:tcPr>
          <w:p>
            <w:pPr>
              <w:jc w:val="left"/>
            </w:pPr>
            <w:r>
              <w:rPr>
                <w:rFonts w:ascii="宋体" w:hAnsi="宋体" w:eastAsia="宋体" w:cs="宋体"/>
                <w:b w:val="0"/>
                <w:i w:val="0"/>
                <w:color w:val="000000"/>
                <w:sz w:val="16"/>
              </w:rPr>
              <w:t>税收业务</w:t>
            </w:r>
          </w:p>
        </w:tc>
        <w:tc>
          <w:tcPr>
            <w:tcW w:w="1420" w:type="dxa"/>
            <w:vAlign w:val="center"/>
          </w:tcPr>
          <w:p>
            <w:pPr>
              <w:jc w:val="right"/>
            </w:pPr>
            <w:r>
              <w:rPr>
                <w:rFonts w:ascii="宋体" w:hAnsi="宋体" w:eastAsia="宋体" w:cs="宋体"/>
                <w:b w:val="0"/>
                <w:i w:val="0"/>
                <w:color w:val="000000"/>
                <w:sz w:val="16"/>
              </w:rPr>
              <w:t>22.53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20111</w:t>
            </w:r>
          </w:p>
        </w:tc>
        <w:tc>
          <w:tcPr>
            <w:tcW w:w="2700" w:type="dxa"/>
            <w:vAlign w:val="center"/>
          </w:tcPr>
          <w:p>
            <w:pPr>
              <w:jc w:val="left"/>
            </w:pPr>
            <w:r>
              <w:rPr>
                <w:rFonts w:ascii="宋体" w:hAnsi="宋体" w:eastAsia="宋体" w:cs="宋体"/>
                <w:b w:val="0"/>
                <w:i w:val="0"/>
                <w:color w:val="000000"/>
                <w:sz w:val="16"/>
              </w:rPr>
              <w:t>纪检监察事务</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2011199</w:t>
            </w:r>
          </w:p>
        </w:tc>
        <w:tc>
          <w:tcPr>
            <w:tcW w:w="2700" w:type="dxa"/>
            <w:vAlign w:val="center"/>
          </w:tcPr>
          <w:p>
            <w:pPr>
              <w:jc w:val="left"/>
            </w:pPr>
            <w:r>
              <w:rPr>
                <w:rFonts w:ascii="宋体" w:hAnsi="宋体" w:eastAsia="宋体" w:cs="宋体"/>
                <w:b w:val="0"/>
                <w:i w:val="0"/>
                <w:color w:val="000000"/>
                <w:sz w:val="16"/>
              </w:rPr>
              <w:t>其他纪检监察事务支出</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384.41</w:t>
            </w:r>
          </w:p>
        </w:tc>
        <w:tc>
          <w:tcPr>
            <w:tcW w:w="1520" w:type="dxa"/>
            <w:vAlign w:val="center"/>
          </w:tcPr>
          <w:p>
            <w:pPr>
              <w:jc w:val="right"/>
            </w:pPr>
            <w:r>
              <w:rPr>
                <w:rFonts w:ascii="宋体" w:hAnsi="宋体" w:eastAsia="宋体" w:cs="宋体"/>
                <w:b w:val="0"/>
                <w:i w:val="0"/>
                <w:color w:val="000000"/>
                <w:sz w:val="16"/>
              </w:rPr>
              <w:t>360.62</w:t>
            </w:r>
          </w:p>
        </w:tc>
        <w:tc>
          <w:tcPr>
            <w:tcW w:w="1526" w:type="dxa"/>
            <w:vAlign w:val="center"/>
          </w:tcPr>
          <w:p>
            <w:pPr>
              <w:jc w:val="right"/>
            </w:pPr>
            <w:r>
              <w:rPr>
                <w:rFonts w:ascii="宋体" w:hAnsi="宋体" w:eastAsia="宋体" w:cs="宋体"/>
                <w:b w:val="0"/>
                <w:i w:val="0"/>
                <w:color w:val="000000"/>
                <w:sz w:val="16"/>
              </w:rPr>
              <w:t>23.79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384.41</w:t>
            </w:r>
          </w:p>
        </w:tc>
        <w:tc>
          <w:tcPr>
            <w:tcW w:w="1520" w:type="dxa"/>
            <w:vAlign w:val="center"/>
          </w:tcPr>
          <w:p>
            <w:pPr>
              <w:jc w:val="right"/>
            </w:pPr>
            <w:r>
              <w:rPr>
                <w:rFonts w:ascii="宋体" w:hAnsi="宋体" w:eastAsia="宋体" w:cs="宋体"/>
                <w:b w:val="0"/>
                <w:i w:val="0"/>
                <w:color w:val="000000"/>
                <w:sz w:val="16"/>
              </w:rPr>
              <w:t>360.62</w:t>
            </w:r>
          </w:p>
        </w:tc>
        <w:tc>
          <w:tcPr>
            <w:tcW w:w="1526" w:type="dxa"/>
            <w:vAlign w:val="center"/>
          </w:tcPr>
          <w:p>
            <w:pPr>
              <w:jc w:val="right"/>
            </w:pPr>
            <w:r>
              <w:rPr>
                <w:rFonts w:ascii="宋体" w:hAnsi="宋体" w:eastAsia="宋体" w:cs="宋体"/>
                <w:b w:val="0"/>
                <w:i w:val="0"/>
                <w:color w:val="000000"/>
                <w:sz w:val="16"/>
              </w:rPr>
              <w:t>23.79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2080501</w:t>
            </w:r>
          </w:p>
        </w:tc>
        <w:tc>
          <w:tcPr>
            <w:tcW w:w="2700" w:type="dxa"/>
            <w:vAlign w:val="center"/>
          </w:tcPr>
          <w:p>
            <w:pPr>
              <w:jc w:val="left"/>
            </w:pPr>
            <w:r>
              <w:rPr>
                <w:rFonts w:ascii="宋体" w:hAnsi="宋体" w:eastAsia="宋体" w:cs="宋体"/>
                <w:b w:val="0"/>
                <w:i w:val="0"/>
                <w:color w:val="000000"/>
                <w:sz w:val="16"/>
              </w:rPr>
              <w:t>行政单位离退休</w:t>
            </w:r>
          </w:p>
        </w:tc>
        <w:tc>
          <w:tcPr>
            <w:tcW w:w="1420" w:type="dxa"/>
            <w:vAlign w:val="center"/>
          </w:tcPr>
          <w:p>
            <w:pPr>
              <w:jc w:val="right"/>
            </w:pPr>
            <w:r>
              <w:rPr>
                <w:rFonts w:ascii="宋体" w:hAnsi="宋体" w:eastAsia="宋体" w:cs="宋体"/>
                <w:b w:val="0"/>
                <w:i w:val="0"/>
                <w:color w:val="000000"/>
                <w:sz w:val="16"/>
              </w:rPr>
              <w:t>140.89</w:t>
            </w:r>
          </w:p>
        </w:tc>
        <w:tc>
          <w:tcPr>
            <w:tcW w:w="1520" w:type="dxa"/>
            <w:vAlign w:val="center"/>
          </w:tcPr>
          <w:p>
            <w:pPr>
              <w:jc w:val="right"/>
            </w:pPr>
            <w:r>
              <w:rPr>
                <w:rFonts w:ascii="宋体" w:hAnsi="宋体" w:eastAsia="宋体" w:cs="宋体"/>
                <w:b w:val="0"/>
                <w:i w:val="0"/>
                <w:color w:val="000000"/>
                <w:sz w:val="16"/>
              </w:rPr>
              <w:t>140.89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129.38</w:t>
            </w:r>
          </w:p>
        </w:tc>
        <w:tc>
          <w:tcPr>
            <w:tcW w:w="1520" w:type="dxa"/>
            <w:vAlign w:val="center"/>
          </w:tcPr>
          <w:p>
            <w:pPr>
              <w:jc w:val="right"/>
            </w:pPr>
            <w:r>
              <w:rPr>
                <w:rFonts w:ascii="宋体" w:hAnsi="宋体" w:eastAsia="宋体" w:cs="宋体"/>
                <w:b w:val="0"/>
                <w:i w:val="0"/>
                <w:color w:val="000000"/>
                <w:sz w:val="16"/>
              </w:rPr>
              <w:t>129.38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90.35</w:t>
            </w:r>
          </w:p>
        </w:tc>
        <w:tc>
          <w:tcPr>
            <w:tcW w:w="1520" w:type="dxa"/>
            <w:vAlign w:val="center"/>
          </w:tcPr>
          <w:p>
            <w:pPr>
              <w:jc w:val="right"/>
            </w:pPr>
            <w:r>
              <w:rPr>
                <w:rFonts w:ascii="宋体" w:hAnsi="宋体" w:eastAsia="宋体" w:cs="宋体"/>
                <w:b w:val="0"/>
                <w:i w:val="0"/>
                <w:color w:val="000000"/>
                <w:sz w:val="16"/>
              </w:rPr>
              <w:t>90.35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2080507</w:t>
            </w:r>
          </w:p>
        </w:tc>
        <w:tc>
          <w:tcPr>
            <w:tcW w:w="2700" w:type="dxa"/>
            <w:vAlign w:val="center"/>
          </w:tcPr>
          <w:p>
            <w:pPr>
              <w:jc w:val="left"/>
            </w:pPr>
            <w:r>
              <w:rPr>
                <w:rFonts w:ascii="宋体" w:hAnsi="宋体" w:eastAsia="宋体" w:cs="宋体"/>
                <w:b w:val="0"/>
                <w:i w:val="0"/>
                <w:color w:val="000000"/>
                <w:sz w:val="16"/>
              </w:rPr>
              <w:t>对机关事业单位基本养老保险基金的补助</w:t>
            </w:r>
          </w:p>
        </w:tc>
        <w:tc>
          <w:tcPr>
            <w:tcW w:w="1420" w:type="dxa"/>
            <w:vAlign w:val="center"/>
          </w:tcPr>
          <w:p>
            <w:pPr>
              <w:jc w:val="right"/>
            </w:pPr>
            <w:r>
              <w:rPr>
                <w:rFonts w:ascii="宋体" w:hAnsi="宋体" w:eastAsia="宋体" w:cs="宋体"/>
                <w:b w:val="0"/>
                <w:i w:val="0"/>
                <w:color w:val="000000"/>
                <w:sz w:val="16"/>
              </w:rPr>
              <w:t>23.79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5.92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w:t>
            </w:r>
          </w:p>
        </w:tc>
        <w:tc>
          <w:tcPr>
            <w:tcW w:w="2700" w:type="dxa"/>
            <w:vAlign w:val="center"/>
          </w:tcPr>
          <w:p>
            <w:pPr>
              <w:jc w:val="left"/>
            </w:pPr>
            <w:r>
              <w:rPr>
                <w:rFonts w:ascii="宋体" w:hAnsi="宋体" w:eastAsia="宋体" w:cs="宋体"/>
                <w:b w:val="0"/>
                <w:i w:val="0"/>
                <w:color w:val="000000"/>
                <w:sz w:val="16"/>
              </w:rPr>
              <w:t>巩固脱贫攻坚成果衔接乡村振兴</w:t>
            </w:r>
          </w:p>
        </w:tc>
        <w:tc>
          <w:tcPr>
            <w:tcW w:w="1420" w:type="dxa"/>
            <w:vAlign w:val="center"/>
          </w:tcPr>
          <w:p>
            <w:pPr>
              <w:jc w:val="right"/>
            </w:pPr>
            <w:r>
              <w:rPr>
                <w:rFonts w:ascii="宋体" w:hAnsi="宋体" w:eastAsia="宋体" w:cs="宋体"/>
                <w:b w:val="0"/>
                <w:i w:val="0"/>
                <w:color w:val="000000"/>
                <w:sz w:val="16"/>
              </w:rPr>
              <w:t>5.92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2130599</w:t>
            </w:r>
          </w:p>
        </w:tc>
        <w:tc>
          <w:tcPr>
            <w:tcW w:w="2700" w:type="dxa"/>
            <w:vAlign w:val="center"/>
          </w:tcPr>
          <w:p>
            <w:pPr>
              <w:jc w:val="left"/>
            </w:pPr>
            <w:r>
              <w:rPr>
                <w:rFonts w:ascii="宋体" w:hAnsi="宋体" w:eastAsia="宋体" w:cs="宋体"/>
                <w:b w:val="0"/>
                <w:i w:val="0"/>
                <w:color w:val="000000"/>
                <w:sz w:val="16"/>
              </w:rPr>
              <w:t>其他巩固脱贫攻坚成果衔接乡村振兴支出</w:t>
            </w:r>
          </w:p>
        </w:tc>
        <w:tc>
          <w:tcPr>
            <w:tcW w:w="1420" w:type="dxa"/>
            <w:vAlign w:val="center"/>
          </w:tcPr>
          <w:p>
            <w:pPr>
              <w:jc w:val="right"/>
            </w:pPr>
            <w:r>
              <w:rPr>
                <w:rFonts w:ascii="宋体" w:hAnsi="宋体" w:eastAsia="宋体" w:cs="宋体"/>
                <w:b w:val="0"/>
                <w:i w:val="0"/>
                <w:color w:val="000000"/>
                <w:sz w:val="16"/>
              </w:rPr>
              <w:t>5.92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58.38</w:t>
            </w:r>
          </w:p>
        </w:tc>
        <w:tc>
          <w:tcPr>
            <w:tcW w:w="1520" w:type="dxa"/>
            <w:vAlign w:val="center"/>
          </w:tcPr>
          <w:p>
            <w:pPr>
              <w:jc w:val="right"/>
            </w:pPr>
            <w:r>
              <w:rPr>
                <w:rFonts w:ascii="宋体" w:hAnsi="宋体" w:eastAsia="宋体" w:cs="宋体"/>
                <w:b w:val="0"/>
                <w:i w:val="0"/>
                <w:color w:val="000000"/>
                <w:sz w:val="16"/>
              </w:rPr>
              <w:t>58.38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58.38</w:t>
            </w:r>
          </w:p>
        </w:tc>
        <w:tc>
          <w:tcPr>
            <w:tcW w:w="1520" w:type="dxa"/>
            <w:vAlign w:val="center"/>
          </w:tcPr>
          <w:p>
            <w:pPr>
              <w:jc w:val="right"/>
            </w:pPr>
            <w:r>
              <w:rPr>
                <w:rFonts w:ascii="宋体" w:hAnsi="宋体" w:eastAsia="宋体" w:cs="宋体"/>
                <w:b w:val="0"/>
                <w:i w:val="0"/>
                <w:color w:val="000000"/>
                <w:sz w:val="16"/>
              </w:rPr>
              <w:t>58.38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58.38</w:t>
            </w:r>
          </w:p>
        </w:tc>
        <w:tc>
          <w:tcPr>
            <w:tcW w:w="1520" w:type="dxa"/>
            <w:vAlign w:val="center"/>
          </w:tcPr>
          <w:p>
            <w:pPr>
              <w:jc w:val="right"/>
            </w:pPr>
            <w:r>
              <w:rPr>
                <w:rFonts w:ascii="宋体" w:hAnsi="宋体" w:eastAsia="宋体" w:cs="宋体"/>
                <w:b w:val="0"/>
                <w:i w:val="0"/>
                <w:color w:val="000000"/>
                <w:sz w:val="16"/>
              </w:rPr>
              <w:t>58.38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1,437.63</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119.82</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285.12</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4.80</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161.62</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0.99</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555.09</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3.50</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48.77</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33.46</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1.27</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6.33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109.23</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7.45</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53.61</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0.97</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6.33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29.41</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pPr>
              <w:jc w:val="right"/>
            </w:pPr>
            <w:r>
              <w:rPr>
                <w:rFonts w:ascii="宋体" w:hAnsi="宋体" w:eastAsia="宋体" w:cs="宋体"/>
                <w:b w:val="0"/>
                <w:i w:val="0"/>
                <w:color w:val="000000"/>
                <w:sz w:val="9"/>
              </w:rPr>
              <w:t>1.66</w:t>
            </w: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pPr>
              <w:jc w:val="right"/>
            </w:pPr>
            <w:r>
              <w:rPr>
                <w:rFonts w:ascii="宋体" w:hAnsi="宋体" w:eastAsia="宋体" w:cs="宋体"/>
                <w:b w:val="0"/>
                <w:i w:val="0"/>
                <w:color w:val="000000"/>
                <w:sz w:val="9"/>
              </w:rPr>
              <w:t>35.77</w:t>
            </w: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pPr>
              <w:jc w:val="right"/>
            </w:pPr>
            <w:r>
              <w:rPr>
                <w:rFonts w:ascii="宋体" w:hAnsi="宋体" w:eastAsia="宋体" w:cs="宋体"/>
                <w:b w:val="0"/>
                <w:i w:val="0"/>
                <w:color w:val="000000"/>
                <w:sz w:val="9"/>
              </w:rPr>
              <w:t>2.20</w:t>
            </w: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3.24</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2.98</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122.31</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3.50</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142.11</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1.22</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2.03</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2.89</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0.20</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22.81</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139.89</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38.53</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0.19</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24.85</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1,579.74</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126.15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9.80</w:t>
            </w:r>
          </w:p>
        </w:tc>
        <w:tc>
          <w:tcPr>
            <w:tcW w:w="1460" w:type="dxa"/>
            <w:vAlign w:val="center"/>
          </w:tcPr>
          <w:p>
            <w:pPr>
              <w:jc w:val="right"/>
            </w:pPr>
            <w:r>
              <w:rPr>
                <w:rFonts w:ascii="宋体" w:hAnsi="宋体" w:eastAsia="宋体" w:cs="宋体"/>
                <w:b w:val="0"/>
                <w:i w:val="0"/>
                <w:color w:val="000000"/>
                <w:sz w:val="16"/>
              </w:rPr>
              <w:t>9.80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9.80</w:t>
            </w:r>
          </w:p>
        </w:tc>
        <w:tc>
          <w:tcPr>
            <w:tcW w:w="1460" w:type="dxa"/>
            <w:vAlign w:val="center"/>
          </w:tcPr>
          <w:p>
            <w:pPr>
              <w:jc w:val="right"/>
            </w:pPr>
            <w:r>
              <w:rPr>
                <w:rFonts w:ascii="宋体" w:hAnsi="宋体" w:eastAsia="宋体" w:cs="宋体"/>
                <w:b w:val="0"/>
                <w:i w:val="0"/>
                <w:color w:val="000000"/>
                <w:sz w:val="16"/>
              </w:rPr>
              <w:t>9.80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新余市渝水区财政局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部门决算</w:t>
      </w:r>
      <w:r>
        <w:rPr>
          <w:rFonts w:hint="eastAsia" w:ascii="宋体" w:hAnsi="宋体" w:cs="宋体"/>
          <w:b/>
          <w:sz w:val="44"/>
          <w:szCs w:val="44"/>
        </w:rPr>
        <w:t>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2023年度收入总计2530.63万元，其中年初结转和结余0.00万元，与上年持平；使用非财政拨款结余和专用结余0.00万元，与上年持平；本年收入合计2530.63万元，比上年增加1055.82万元</w:t>
      </w:r>
      <w:r>
        <w:rPr>
          <w:rFonts w:hint="eastAsia" w:ascii="仿宋_GB2312" w:hAnsi="仿宋_GB2312" w:eastAsia="仿宋_GB2312" w:cs="Times New Roman"/>
          <w:sz w:val="32"/>
          <w:szCs w:val="32"/>
        </w:rPr>
        <w:t>，增长71.59%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增加了财政委托业务支出</w:t>
      </w:r>
      <w:r>
        <w:rPr>
          <w:rFonts w:hint="eastAsia" w:ascii="仿宋_GB2312" w:hAnsi="仿宋_GB2312" w:eastAsia="仿宋_GB2312" w:cs="Times New Roman"/>
          <w:sz w:val="32"/>
          <w:szCs w:val="32"/>
          <w:lang w:val="en-US" w:eastAsia="zh-CN"/>
        </w:rPr>
        <w:t>425万元，养老支出增加266.33万元，其他财政事务支出增加141.95万元，税收事务支出22.53万元，纪检监察业务支出10万元</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本年收入的具体构成：财政拨款收入2530.63万元，占100.00%；事业收入0.00万元，占0.00%；经营收入0.00万元，占0.00%；上级补助收入0.00万元，占0.00%；附属单位上缴收入0.00万元，占0.00%；其他收入0.00万元，占0.00%。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2023年度支出总计2530.63万元，其中本年支出合计2530.63万元，比上年增加1055.82万元</w:t>
      </w:r>
      <w:r>
        <w:rPr>
          <w:rFonts w:hint="eastAsia" w:ascii="仿宋_GB2312" w:hAnsi="仿宋_GB2312" w:eastAsia="仿宋_GB2312" w:cs="Times New Roman"/>
          <w:sz w:val="32"/>
          <w:szCs w:val="32"/>
        </w:rPr>
        <w:t>，增长71.59%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增加了财政委托业务支出</w:t>
      </w:r>
      <w:r>
        <w:rPr>
          <w:rFonts w:hint="eastAsia" w:ascii="仿宋_GB2312" w:hAnsi="仿宋_GB2312" w:eastAsia="仿宋_GB2312" w:cs="Times New Roman"/>
          <w:sz w:val="32"/>
          <w:szCs w:val="32"/>
          <w:lang w:val="en-US" w:eastAsia="zh-CN"/>
        </w:rPr>
        <w:t>425万元，养老支出增加266.33万元，其他财政事务支出增加141.95万元，税收事务支出22.53万元，纪检监察业务支出10万元</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零余额预算没有年末结转和结余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本年支出的具体构成：基本支出1705.89万元，占67.41%；项目支出824.74万元，占32.59%；经营支出0.00万元，占0.00%；上缴上级支出0.00万元，占0.00%；对附属单位补助支出0.00万元，占0.00%。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2023年度财政拨款本年支出年初预算数1732.83万元，决算数2530.63万元，完成年初预算的146.04%。其中：</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（一）一般公共服务支出（类）年初预算数1457.08万元，决算数2081.92万元，完成年初预算的142.88%。预决算差异主要原因：</w:t>
      </w:r>
      <w:r>
        <w:rPr>
          <w:rFonts w:hint="eastAsia" w:ascii="仿宋_GB2312" w:hAnsi="仿宋_GB2312" w:eastAsia="仿宋_GB2312" w:cs="Times New Roman"/>
          <w:sz w:val="32"/>
          <w:szCs w:val="32"/>
          <w:lang w:eastAsia="zh-CN"/>
        </w:rPr>
        <w:t>因工作需要新增了财政委托业务支出</w:t>
      </w:r>
      <w:r>
        <w:rPr>
          <w:rFonts w:hint="eastAsia" w:ascii="仿宋_GB2312" w:hAnsi="仿宋_GB2312" w:eastAsia="仿宋_GB2312" w:cs="Times New Roman"/>
          <w:sz w:val="32"/>
          <w:szCs w:val="32"/>
          <w:lang w:val="en-US" w:eastAsia="zh-CN"/>
        </w:rPr>
        <w:t>425万元、行政运行经费211万元，税收业务支出22.53万元。</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（八）社会保障和就业支出（类）年初预算数214.63万元，决算数384.41万元，完成年初预算的179.10%。预决算差异主要原因：</w:t>
      </w:r>
      <w:r>
        <w:rPr>
          <w:rFonts w:hint="eastAsia" w:ascii="仿宋_GB2312" w:hAnsi="仿宋_GB2312" w:eastAsia="仿宋_GB2312"/>
          <w:sz w:val="32"/>
          <w:szCs w:val="32"/>
          <w:lang w:eastAsia="zh-CN"/>
        </w:rPr>
        <w:t>提高了社保缴费基数，根据新基数对全年的社保年金进行了补缴。</w:t>
      </w:r>
    </w:p>
    <w:p>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（十二）农林水支出（类）年初预算数3.00万元，决算数5.92万元，完成年初预算的197.23%。预决算差异主要原因：</w:t>
      </w:r>
      <w:r>
        <w:rPr>
          <w:rFonts w:hint="eastAsia" w:ascii="仿宋_GB2312" w:hAnsi="仿宋_GB2312" w:eastAsia="仿宋_GB2312"/>
          <w:sz w:val="32"/>
          <w:szCs w:val="32"/>
          <w:lang w:eastAsia="zh-CN"/>
        </w:rPr>
        <w:t>支付了</w:t>
      </w:r>
      <w:r>
        <w:rPr>
          <w:rFonts w:hint="eastAsia" w:ascii="仿宋_GB2312" w:hAnsi="仿宋_GB2312" w:eastAsia="仿宋_GB2312"/>
          <w:sz w:val="32"/>
          <w:szCs w:val="32"/>
          <w:lang w:val="en-US" w:eastAsia="zh-CN"/>
        </w:rPr>
        <w:t>2022年结转的乡村振兴款。</w:t>
      </w:r>
    </w:p>
    <w:p>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（十九）住房保障支出（类）年初预算数58.12万元，决算数58.38万元，完成年初预算的100.45%。预决算差异主要原因：</w:t>
      </w:r>
      <w:r>
        <w:rPr>
          <w:rFonts w:hint="eastAsia" w:ascii="仿宋_GB2312" w:hAnsi="仿宋_GB2312" w:eastAsia="仿宋_GB2312"/>
          <w:sz w:val="32"/>
          <w:szCs w:val="32"/>
          <w:lang w:eastAsia="zh-CN"/>
        </w:rPr>
        <w:t>人员工资变动，基数变动。</w:t>
      </w:r>
    </w:p>
    <w:p>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2023年度一般公共预算财政拨款基本支出1705.89万元，其中：</w:t>
      </w:r>
    </w:p>
    <w:p>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（一）工资福利支出1437.63万元，比上年增加586.40万元</w:t>
      </w:r>
      <w:r>
        <w:rPr>
          <w:rFonts w:hint="eastAsia" w:ascii="仿宋_GB2312" w:hAnsi="仿宋_GB2312" w:eastAsia="仿宋_GB2312" w:cs="Times New Roman"/>
          <w:sz w:val="32"/>
          <w:szCs w:val="32"/>
        </w:rPr>
        <w:t>，增长68.89%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因为</w:t>
      </w:r>
      <w:r>
        <w:rPr>
          <w:rFonts w:hint="eastAsia" w:ascii="仿宋_GB2312" w:hAnsi="仿宋_GB2312" w:eastAsia="仿宋_GB2312" w:cs="Times New Roman"/>
          <w:sz w:val="32"/>
          <w:szCs w:val="32"/>
          <w:lang w:val="en-US" w:eastAsia="zh-CN"/>
        </w:rPr>
        <w:t>2022年全年没有发放的年度考核奖，2023年发放了2022年的年度考核奖并预发了2023年部分年度考核奖</w:t>
      </w:r>
      <w:r>
        <w:rPr>
          <w:rFonts w:hint="eastAsia" w:ascii="仿宋_GB2312" w:hAnsi="仿宋_GB2312" w:eastAsia="仿宋_GB2312" w:cs="Times New Roman"/>
          <w:sz w:val="32"/>
          <w:szCs w:val="32"/>
        </w:rPr>
        <w:t>。</w:t>
      </w:r>
    </w:p>
    <w:p>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（二）商品和服务支出119.82万元，比上年增加79.82万元</w:t>
      </w:r>
      <w:r>
        <w:rPr>
          <w:rFonts w:hint="eastAsia" w:ascii="仿宋_GB2312" w:hAnsi="仿宋_GB2312" w:eastAsia="仿宋_GB2312" w:cs="Times New Roman"/>
          <w:sz w:val="32"/>
          <w:szCs w:val="32"/>
        </w:rPr>
        <w:t>，增长199.54%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其他交通费用增加</w:t>
      </w:r>
      <w:r>
        <w:rPr>
          <w:rFonts w:hint="eastAsia" w:ascii="仿宋_GB2312" w:hAnsi="仿宋_GB2312" w:eastAsia="仿宋_GB2312" w:cs="Times New Roman"/>
          <w:sz w:val="32"/>
          <w:szCs w:val="32"/>
          <w:lang w:val="en-US" w:eastAsia="zh-CN"/>
        </w:rPr>
        <w:t>38.53万元，工会经费增加17.58万元，其他商品和服务支出增加13.68万元</w:t>
      </w:r>
      <w:r>
        <w:rPr>
          <w:rFonts w:hint="eastAsia" w:ascii="仿宋_GB2312" w:hAnsi="仿宋_GB2312" w:eastAsia="仿宋_GB2312" w:cs="Times New Roman"/>
          <w:sz w:val="32"/>
          <w:szCs w:val="32"/>
        </w:rPr>
        <w:t>。</w:t>
      </w:r>
    </w:p>
    <w:p>
      <w:pPr>
        <w:ind w:firstLine="585"/>
        <w:jc w:val="left"/>
        <w:rPr>
          <w:rFonts w:hint="eastAsia" w:ascii="仿宋_GB2312" w:hAnsi="仿宋_GB2312" w:eastAsia="仿宋_GB2312" w:cs="Times New Roman"/>
          <w:sz w:val="32"/>
          <w:szCs w:val="32"/>
          <w:lang w:eastAsia="zh-CN"/>
        </w:rPr>
      </w:pPr>
      <w:r>
        <w:rPr>
          <w:rFonts w:hint="eastAsia" w:ascii="仿宋_GB2312" w:hAnsi="仿宋_GB2312" w:eastAsia="仿宋_GB2312"/>
          <w:sz w:val="32"/>
          <w:szCs w:val="32"/>
        </w:rPr>
        <w:t>（三）对个人和家庭补助支出142.11万元，比上年减少224.04万元，下降61.19%，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奖励金减少</w:t>
      </w:r>
      <w:r>
        <w:rPr>
          <w:rFonts w:hint="eastAsia" w:ascii="仿宋_GB2312" w:hAnsi="仿宋_GB2312" w:eastAsia="仿宋_GB2312" w:cs="Times New Roman"/>
          <w:sz w:val="32"/>
          <w:szCs w:val="32"/>
          <w:lang w:val="en-US" w:eastAsia="zh-CN"/>
        </w:rPr>
        <w:t>218.67万元</w:t>
      </w:r>
      <w:r>
        <w:rPr>
          <w:rFonts w:hint="eastAsia" w:ascii="仿宋_GB2312" w:hAnsi="仿宋_GB2312" w:eastAsia="仿宋_GB2312" w:cs="Times New Roman"/>
          <w:sz w:val="32"/>
          <w:szCs w:val="32"/>
          <w:lang w:eastAsia="zh-CN"/>
        </w:rPr>
        <w:t>。</w:t>
      </w:r>
    </w:p>
    <w:p>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（四）资本性支出6.33万元，比上年增加6.33万元，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购买办公设备</w:t>
      </w:r>
      <w:r>
        <w:rPr>
          <w:rFonts w:hint="eastAsia" w:ascii="仿宋_GB2312" w:hAnsi="仿宋_GB2312" w:eastAsia="仿宋_GB2312" w:cs="Times New Roman"/>
          <w:sz w:val="32"/>
          <w:szCs w:val="32"/>
          <w:lang w:val="en-US" w:eastAsia="zh-CN"/>
        </w:rPr>
        <w:t>6.33万元</w:t>
      </w:r>
      <w:r>
        <w:rPr>
          <w:rFonts w:hint="eastAsia" w:ascii="仿宋_GB2312" w:hAnsi="仿宋_GB2312" w:eastAsia="仿宋_GB2312" w:cs="Times New Roman"/>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2023年度财政拨款“三公”经费支出全年预算数9.80万元，决算数0.00万元，完成全年预算的0.00%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决算数比上年减少7.27万元，下降100.00%，其中：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无因公出国业务</w:t>
      </w:r>
      <w:r>
        <w:rPr>
          <w:rFonts w:hint="eastAsia" w:ascii="仿宋_GB2312" w:hAnsi="仿宋_GB2312" w:eastAsia="仿宋_GB2312" w:cs="Times New Roman"/>
          <w:sz w:val="32"/>
          <w:szCs w:val="32"/>
        </w:rPr>
        <w:t>。</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去年也</w:t>
      </w:r>
      <w:r>
        <w:rPr>
          <w:rFonts w:hint="eastAsia" w:ascii="仿宋_GB2312" w:hAnsi="仿宋_GB2312" w:eastAsia="仿宋_GB2312" w:cs="Times New Roman"/>
          <w:sz w:val="32"/>
          <w:szCs w:val="32"/>
          <w:lang w:eastAsia="zh-CN"/>
        </w:rPr>
        <w:t>无因公出国业务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sz w:val="32"/>
          <w:szCs w:val="32"/>
          <w:lang w:eastAsia="zh-CN"/>
        </w:rPr>
        <w:t>无因公出国业务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公车改革单位无公车</w:t>
      </w:r>
      <w:r>
        <w:rPr>
          <w:rFonts w:hint="eastAsia" w:ascii="仿宋_GB2312" w:hAnsi="仿宋_GB2312" w:eastAsia="仿宋_GB2312" w:cs="Times New Roman"/>
          <w:sz w:val="32"/>
          <w:szCs w:val="32"/>
        </w:rPr>
        <w:t>。决算</w:t>
      </w:r>
      <w:r>
        <w:rPr>
          <w:rFonts w:hint="eastAsia" w:ascii="仿宋_GB2312" w:hAnsi="仿宋_GB2312" w:eastAsia="仿宋_GB2312"/>
          <w:sz w:val="32"/>
          <w:szCs w:val="32"/>
        </w:rPr>
        <w:t>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公车改革单位无公车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公车改革单位无公车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公车改革单位无公车</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sz w:val="32"/>
          <w:szCs w:val="32"/>
        </w:rPr>
        <w:t>（三）公务接待费全年预算数9.80万元，决算数0.00万元，完成全年预算的0.00%，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公务来客在食堂用餐缴纳餐费</w:t>
      </w:r>
      <w:r>
        <w:rPr>
          <w:rFonts w:hint="eastAsia" w:ascii="仿宋_GB2312" w:hAnsi="仿宋_GB2312" w:eastAsia="仿宋_GB2312"/>
          <w:sz w:val="32"/>
          <w:szCs w:val="32"/>
        </w:rPr>
        <w:t>。决算数比上年减少7.27万元，下降100.00%,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公务来客在食堂用餐缴纳餐费</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sz w:val="32"/>
          <w:szCs w:val="32"/>
          <w:lang w:eastAsia="zh-CN"/>
        </w:rPr>
        <w:t>公务来客在食堂用餐缴纳餐费</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default" w:ascii="仿宋_GB2312" w:hAnsi="仿宋_GB2312" w:eastAsia="仿宋_GB2312"/>
          <w:sz w:val="32"/>
          <w:szCs w:val="32"/>
          <w:highlight w:val="cyan"/>
          <w:lang w:val="en-US" w:eastAsia="zh-CN"/>
        </w:rPr>
      </w:pPr>
      <w:r>
        <w:rPr>
          <w:rFonts w:hint="eastAsia" w:ascii="仿宋_GB2312" w:hAnsi="仿宋_GB2312" w:eastAsia="仿宋_GB2312"/>
          <w:sz w:val="32"/>
          <w:szCs w:val="32"/>
          <w:lang w:eastAsia="zh-CN"/>
        </w:rPr>
        <w:t>本部门</w:t>
      </w:r>
      <w:r>
        <w:rPr>
          <w:rFonts w:hint="eastAsia" w:ascii="仿宋_GB2312" w:hAnsi="仿宋_GB2312" w:eastAsia="仿宋_GB2312"/>
          <w:sz w:val="32"/>
          <w:szCs w:val="32"/>
        </w:rPr>
        <w:t>2023年度机关运行经费支出126.15万元，决算数比上年增加86.15万元</w:t>
      </w:r>
      <w:r>
        <w:rPr>
          <w:rFonts w:hint="eastAsia" w:ascii="仿宋_GB2312" w:hAnsi="仿宋_GB2312" w:eastAsia="仿宋_GB2312" w:cs="Times New Roman"/>
          <w:sz w:val="32"/>
          <w:szCs w:val="32"/>
        </w:rPr>
        <w:t>，增长215.37%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新增了其他交通费用</w:t>
      </w:r>
      <w:r>
        <w:rPr>
          <w:rFonts w:hint="eastAsia" w:ascii="仿宋_GB2312" w:hAnsi="仿宋_GB2312" w:eastAsia="仿宋_GB2312"/>
          <w:sz w:val="32"/>
          <w:szCs w:val="32"/>
          <w:lang w:val="en-US" w:eastAsia="zh-CN"/>
        </w:rPr>
        <w:t>38.53万元，其他商品和服务支出增长13.68万元，工会经费增加17.58万元。</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20"/>
        <w:spacing w:line="600" w:lineRule="atLeast"/>
        <w:ind w:firstLine="600"/>
        <w:rPr>
          <w:rFonts w:hint="eastAsia" w:ascii="仿宋_GB2312" w:hAnsi="仿宋_GB2312" w:eastAsia="仿宋_GB2312" w:cs="Times New Roman"/>
          <w:sz w:val="32"/>
          <w:szCs w:val="32"/>
        </w:rPr>
      </w:pPr>
      <w:r>
        <w:rPr>
          <w:rFonts w:hint="eastAsia" w:ascii="仿宋_GB2312" w:hAnsi="仿宋_GB2312" w:eastAsia="仿宋_GB2312"/>
          <w:kern w:val="2"/>
          <w:sz w:val="32"/>
          <w:szCs w:val="32"/>
          <w:lang w:eastAsia="zh-CN"/>
        </w:rPr>
        <w:t>本部门</w:t>
      </w:r>
      <w:r>
        <w:rPr>
          <w:rFonts w:hint="eastAsia" w:ascii="仿宋_GB2312" w:hAnsi="仿宋_GB2312" w:eastAsia="仿宋_GB2312"/>
          <w:kern w:val="2"/>
          <w:sz w:val="32"/>
          <w:szCs w:val="32"/>
        </w:rPr>
        <w:t>2023年度政府采购支出总额27.70万元，其中：政府采购货物支出27.70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s="Times New Roman"/>
          <w:kern w:val="2"/>
          <w:sz w:val="32"/>
          <w:szCs w:val="32"/>
        </w:rPr>
        <w:t>的</w:t>
      </w:r>
      <w:r>
        <w:rPr>
          <w:rFonts w:hint="eastAsia" w:ascii="仿宋_GB2312" w:hAnsi="仿宋_GB2312" w:eastAsia="仿宋_GB2312" w:cs="Times New Roman"/>
          <w:kern w:val="2"/>
          <w:sz w:val="32"/>
          <w:szCs w:val="32"/>
          <w:lang w:val="en-US" w:eastAsia="zh-CN"/>
        </w:rPr>
        <w:t>100</w:t>
      </w:r>
      <w:r>
        <w:rPr>
          <w:rFonts w:hint="eastAsia" w:ascii="仿宋_GB2312" w:hAnsi="仿宋_GB2312" w:eastAsia="仿宋_GB2312" w:cs="Times New Roman"/>
          <w:kern w:val="2"/>
          <w:sz w:val="32"/>
          <w:szCs w:val="32"/>
        </w:rPr>
        <w:t>%</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w:t>
      </w:r>
      <w:r>
        <w:rPr>
          <w:rFonts w:hint="eastAsia" w:ascii="仿宋_GB2312" w:hAnsi="仿宋_GB2312" w:eastAsia="仿宋_GB2312" w:cs="Times New Roman"/>
          <w:sz w:val="32"/>
          <w:szCs w:val="32"/>
        </w:rPr>
        <w:t>的</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本部门</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本部门</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816.43</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分别为：金财工程设备购置及网络维护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通过项目的实施，产出的数量、质量普遍达到了预期，数量目标、质量目标均达成期初制定的绩效目标，信息化管理有了进一步的改善。综合评价结果优秀，评价结论97分。</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2679.66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eastAsia="zh-CN"/>
        </w:rPr>
        <w:t>执行率</w:t>
      </w:r>
      <w:r>
        <w:rPr>
          <w:rFonts w:hint="eastAsia" w:ascii="仿宋_GB2312" w:hAnsi="仿宋_GB2312" w:eastAsia="仿宋_GB2312" w:cs="仿宋_GB2312"/>
          <w:kern w:val="0"/>
          <w:sz w:val="32"/>
          <w:szCs w:val="32"/>
          <w:lang w:val="en-US" w:eastAsia="zh-CN"/>
        </w:rPr>
        <w:t>94.44%，各项指标均达到目标值，得分97分。</w:t>
      </w:r>
      <w:r>
        <w:rPr>
          <w:rFonts w:hint="eastAsia" w:ascii="仿宋_GB2312" w:hAnsi="仿宋_GB2312" w:eastAsia="仿宋_GB2312" w:cs="仿宋_GB2312"/>
          <w:kern w:val="0"/>
          <w:sz w:val="32"/>
          <w:szCs w:val="32"/>
        </w:rPr>
        <w:t xml:space="preserve">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ind w:firstLine="640" w:firstLineChars="200"/>
        <w:rPr>
          <w:rFonts w:hint="eastAsia" w:ascii="仿宋_GB2312" w:hAnsi="宋体" w:eastAsia="仿宋_GB2312"/>
          <w:sz w:val="32"/>
          <w:szCs w:val="30"/>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组织对纳入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年度部门预算范围的二级项目</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个全面开展绩效自评。</w:t>
      </w:r>
      <w:r>
        <w:rPr>
          <w:rFonts w:hint="eastAsia" w:ascii="仿宋_GB2312" w:hAnsi="宋体" w:eastAsia="仿宋_GB2312"/>
          <w:sz w:val="32"/>
          <w:szCs w:val="30"/>
        </w:rPr>
        <w:t>从项目支出情况来看，我单位严格按照年初预算进行部门项目支出。在支出过程中，能严格遵守各项规章制度，</w:t>
      </w:r>
      <w:r>
        <w:rPr>
          <w:rFonts w:hint="eastAsia" w:ascii="仿宋_GB2312" w:hAnsi="宋体" w:eastAsia="仿宋_GB2312"/>
          <w:sz w:val="32"/>
          <w:szCs w:val="30"/>
          <w:lang w:eastAsia="zh-CN"/>
        </w:rPr>
        <w:t>各项指标达到预期，绩效目标圆满完成。</w:t>
      </w:r>
      <w:r>
        <w:rPr>
          <w:rFonts w:hint="eastAsia" w:ascii="仿宋_GB2312" w:hAnsi="宋体" w:eastAsia="仿宋_GB2312"/>
          <w:sz w:val="32"/>
          <w:szCs w:val="30"/>
        </w:rPr>
        <w:t>自评等级为优秀，项目支出管理规范和绩效管理突出到位。</w:t>
      </w:r>
      <w:r>
        <w:rPr>
          <w:rFonts w:hint="eastAsia" w:ascii="仿宋_GB2312" w:hAnsi="宋体" w:eastAsia="仿宋_GB2312"/>
          <w:sz w:val="32"/>
          <w:szCs w:val="30"/>
          <w:lang w:eastAsia="zh-CN"/>
        </w:rPr>
        <w:t>有的项目执行率不是</w:t>
      </w:r>
      <w:r>
        <w:rPr>
          <w:rFonts w:hint="eastAsia" w:ascii="仿宋_GB2312" w:hAnsi="宋体" w:eastAsia="仿宋_GB2312"/>
          <w:sz w:val="32"/>
          <w:szCs w:val="30"/>
          <w:lang w:val="en-US" w:eastAsia="zh-CN"/>
        </w:rPr>
        <w:t>100%，是</w:t>
      </w:r>
      <w:r>
        <w:rPr>
          <w:rFonts w:hint="eastAsia" w:ascii="仿宋_GB2312" w:hAnsi="宋体" w:eastAsia="仿宋_GB2312"/>
          <w:sz w:val="32"/>
          <w:szCs w:val="30"/>
        </w:rPr>
        <w:t>由于政策、资金拨付等相关原因，存在资金使用进度有些缓慢。整改措施：</w:t>
      </w:r>
      <w:r>
        <w:rPr>
          <w:rFonts w:hint="eastAsia" w:ascii="仿宋_GB2312" w:hAnsi="宋体" w:eastAsia="仿宋_GB2312"/>
          <w:sz w:val="32"/>
          <w:szCs w:val="30"/>
          <w:lang w:val="en-US" w:eastAsia="zh-CN"/>
        </w:rPr>
        <w:t>1、</w:t>
      </w:r>
      <w:r>
        <w:rPr>
          <w:rFonts w:hint="eastAsia" w:ascii="仿宋_GB2312" w:hAnsi="宋体" w:eastAsia="仿宋_GB2312"/>
          <w:sz w:val="32"/>
          <w:szCs w:val="30"/>
        </w:rPr>
        <w:t>建议及时对项目进行管理，确保专项经费专款专用，按规定落实到位。</w:t>
      </w:r>
      <w:r>
        <w:rPr>
          <w:rFonts w:hint="eastAsia" w:ascii="仿宋_GB2312" w:hAnsi="宋体" w:eastAsia="仿宋_GB2312"/>
          <w:sz w:val="32"/>
          <w:szCs w:val="30"/>
          <w:lang w:val="en-US" w:eastAsia="zh-CN"/>
        </w:rPr>
        <w:t>2、</w:t>
      </w:r>
      <w:r>
        <w:rPr>
          <w:rFonts w:hint="eastAsia" w:ascii="仿宋_GB2312" w:hAnsi="宋体" w:eastAsia="仿宋_GB2312"/>
          <w:sz w:val="32"/>
          <w:szCs w:val="30"/>
        </w:rPr>
        <w:t>加强业务培训，组织相关单位人员学习交流以拓展工作思路。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自评结果及时反馈给相关业务股室，由相关业务股室根据问题进行改进。</w:t>
      </w:r>
      <w:r>
        <w:rPr>
          <w:rFonts w:hint="eastAsia" w:ascii="仿宋_GB2312" w:hAnsi="仿宋" w:eastAsia="仿宋_GB2312"/>
          <w:sz w:val="32"/>
        </w:rPr>
        <w:t>按要求及时报送和公开</w:t>
      </w:r>
      <w:r>
        <w:rPr>
          <w:rFonts w:hint="eastAsia" w:ascii="仿宋_GB2312" w:hAnsi="仿宋_GB2312" w:eastAsia="仿宋_GB2312" w:cs="仿宋_GB2312"/>
          <w:sz w:val="32"/>
          <w:szCs w:val="32"/>
        </w:rPr>
        <w:t>。</w:t>
      </w:r>
    </w:p>
    <w:p>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本部门“ </w:t>
      </w:r>
      <w:r>
        <w:rPr>
          <w:rFonts w:hint="eastAsia" w:ascii="仿宋_GB2312" w:hAnsi="仿宋_GB2312" w:eastAsia="仿宋_GB2312" w:cs="仿宋_GB2312"/>
          <w:kern w:val="0"/>
          <w:sz w:val="32"/>
          <w:szCs w:val="32"/>
          <w:lang w:val="en-US" w:eastAsia="zh-CN"/>
        </w:rPr>
        <w:t>2023年区财政局财税能力建设专项经费</w:t>
      </w:r>
      <w:r>
        <w:rPr>
          <w:rFonts w:hint="eastAsia" w:ascii="仿宋_GB2312" w:hAnsi="仿宋_GB2312" w:eastAsia="仿宋_GB2312" w:cs="仿宋_GB2312"/>
          <w:kern w:val="0"/>
          <w:sz w:val="32"/>
          <w:szCs w:val="32"/>
        </w:rPr>
        <w:t xml:space="preserve">  ”、“ </w:t>
      </w:r>
      <w:r>
        <w:rPr>
          <w:rFonts w:hint="eastAsia" w:ascii="仿宋_GB2312" w:hAnsi="仿宋_GB2312" w:eastAsia="仿宋_GB2312" w:cs="仿宋_GB2312"/>
          <w:kern w:val="0"/>
          <w:sz w:val="32"/>
          <w:szCs w:val="32"/>
          <w:lang w:val="en-US" w:eastAsia="zh-CN"/>
        </w:rPr>
        <w:t>财政投资评审项目</w:t>
      </w:r>
      <w:r>
        <w:rPr>
          <w:rFonts w:hint="eastAsia" w:ascii="仿宋_GB2312" w:hAnsi="仿宋_GB2312" w:eastAsia="仿宋_GB2312" w:cs="仿宋_GB2312"/>
          <w:kern w:val="0"/>
          <w:sz w:val="32"/>
          <w:szCs w:val="32"/>
        </w:rPr>
        <w:t xml:space="preserve">  ” 项目支出绩效自评结果如下：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2023年区财政局财税能力建设专项经费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新余市渝水区财政局（部门）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2023年进行财政能力建设项目一个</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财政能力建设项目总成本100万，项目数量1个，项目数量1个，项目完成验收合格率100%，项目完成及时率100%，项目社会效益得到提升，受益对象满意度98%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财政能力建设项目数量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1"/>
        <w:gridCol w:w="1390"/>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财政投资评审项目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新余市渝水区财政局（部门）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2023年计划完成结算评审130个以上，预算评审160个以上。</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项目总成本150万元，完成结算评审项目数量150个，完成预算评审项目数量170个，结算评审核减率12%，预算评审核减率8%，评审及时完成，财政资金得到节约，送审单位满意度100%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完成预算评审项目数量（个）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完成结算评审项目数量（个）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结算评审核减率（%）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预算评审核减率（%）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评审完成及时性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送审单位满意度（%）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项目部门评价报告见第五部分附件。</w:t>
      </w: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20"/>
        <w:spacing w:line="600" w:lineRule="atLeast"/>
        <w:ind w:firstLine="600"/>
        <w:rPr>
          <w:rFonts w:hint="eastAsia" w:ascii="仿宋_GB2312" w:hAnsi="仿宋_GB2312" w:eastAsia="仿宋_GB2312"/>
          <w:sz w:val="30"/>
          <w:szCs w:val="30"/>
        </w:rPr>
      </w:pPr>
    </w:p>
    <w:p>
      <w:pPr>
        <w:pStyle w:val="21"/>
        <w:shd w:val="clear" w:color="auto" w:fill="FFFFFF"/>
        <w:spacing w:before="0" w:beforeAutospacing="0" w:after="0" w:afterAutospacing="0"/>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一、收入科目</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（一）财政拨款：指省级财政当年拨付的资金。</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（二）事业收入：指事业单位开展专业业务活动及辅助</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活动取得的收入。</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（三）事业单位经营收入：指事业单位在专业业务活动</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及辅助活动之外开展非独立核算经营活动取得的收入。</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（四）其他收入：指除财政拨款、事业收入、事业单位</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经营收入等以外的各项收入。</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（五）附属单位上缴收入：反映事业单位附属的独立核</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算单位按规定标准或比例缴纳的各项收入。包括附属的事业</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单位上缴的收入和附属的企业上缴的利润等。</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（六）上级补助收入：反映事业单位从主管部门和上级</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单位取得的非财政补助收入。</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（七）用事业基金弥补收支差额：填列事业单位用事业</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基金弥补 2021年收支差额的数额。</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（八）上年结转和结余：填列 2021 年全部结转和结余</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的资金数，包括当年结转结余资金和历年滚存结转结余资金。</w:t>
      </w:r>
    </w:p>
    <w:p>
      <w:pPr>
        <w:pStyle w:val="21"/>
        <w:shd w:val="clear" w:color="auto" w:fill="FFFFFF"/>
        <w:spacing w:before="0" w:beforeAutospacing="0" w:after="0" w:afterAutospacing="0"/>
        <w:ind w:firstLine="639"/>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二、支出科目</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一般公共服务支出（类）党委办公厅（室）及相关机构事务（款）一般行政管理事务（项）：指反映行政单位（包括实行公务员管理的事业单位）未单独设置顶级科目的其他项目支出。</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一般公共服务支出（类）党委办公厅（室）及相关机构事务（款）机关服务（项）：指反映为行政单位（包括实行公务员管理的事业单位）提供后勤服务的各类后勤服务中心、医务室等附属事业单位的支出。</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一般公共服务支出（类）党委办公厅（室）及相关机构事务（款）事业运行（项）：指反映事业单位的基本支出，不包括行政单位（包括实行公务员管理的事业单位）后勤服务中心、医务室等附属事业单位。</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一般公共服务支出（类）党委办公厅（室）及相关机构事务（款）其他党委办公厅（室）及相关机构事务（项）：指反映除上述项目以外其他用于党委办公厅（室）及相关机构事务支出。</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教育支出（类）普通教育（款）学前教育（项）：指反映各部门举办的学前教育支出。</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社会保障和就业支出（类）行政事业单位离退休（款）未归口管理的行政单位离退休支出（项）：指反映未实行归口管理的行政单位（包括实行公务员管理的事业单位）开支的离退休支出。</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医疗卫生与计划生育支出（类）医疗保障（款）行政单位医疗（项）：指反映财政部门集中安排的行政单位基本医疗保险缴费的经费，未参加医疗保险的行政单位的公费医疗缴费，按国家规定享受离休人员、红军老战士待遇人员的医疗经费。</w:t>
      </w:r>
    </w:p>
    <w:p>
      <w:pPr>
        <w:pStyle w:val="21"/>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住房保障支出（类）住房改革支出（款）购房补贴（项）：指反映按房改政策规定，行政事业单位向符合条件职工（含离退休人员）、军队（含武警）向转役复原离退休人员发放的用于购买住房的补贴。</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ascii="仿宋_GB2312" w:hAnsi="仿宋_GB2312" w:eastAsia="仿宋_GB2312"/>
          <w:kern w:val="0"/>
          <w:sz w:val="32"/>
          <w:szCs w:val="32"/>
        </w:rPr>
      </w:pPr>
    </w:p>
    <w:p>
      <w:pPr>
        <w:pStyle w:val="2"/>
        <w:rPr>
          <w:rFonts w:hint="eastAsia"/>
        </w:rPr>
      </w:pPr>
    </w:p>
    <w:p>
      <w:pPr>
        <w:pStyle w:val="2"/>
        <w:rPr>
          <w:rFonts w:hint="eastAsia"/>
        </w:rPr>
      </w:pP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2231" w:firstLineChars="505"/>
        <w:jc w:val="both"/>
        <w:textAlignment w:val="auto"/>
        <w:outlineLvl w:val="0"/>
        <w:rPr>
          <w:rFonts w:hint="eastAsia" w:ascii="宋体" w:hAnsi="宋体" w:cs="宋体"/>
          <w:b/>
          <w:bCs/>
          <w:sz w:val="44"/>
          <w:szCs w:val="44"/>
        </w:rPr>
      </w:pPr>
      <w:r>
        <w:rPr>
          <w:rFonts w:hint="eastAsia" w:ascii="宋体" w:hAnsi="宋体" w:cs="宋体"/>
          <w:b/>
          <w:bCs/>
          <w:sz w:val="44"/>
          <w:szCs w:val="44"/>
          <w:lang w:val="en-US" w:eastAsia="zh-CN"/>
        </w:rPr>
        <w:t xml:space="preserve">  </w:t>
      </w:r>
      <w:r>
        <w:rPr>
          <w:rFonts w:hint="eastAsia" w:ascii="宋体" w:hAnsi="宋体" w:cs="宋体"/>
          <w:b/>
          <w:bCs/>
          <w:sz w:val="44"/>
          <w:szCs w:val="44"/>
        </w:rPr>
        <w:t>附件</w:t>
      </w:r>
    </w:p>
    <w:p>
      <w:pPr>
        <w:jc w:val="center"/>
        <w:rPr>
          <w:rFonts w:hint="eastAsia"/>
          <w:lang w:val="en-US" w:eastAsia="zh-CN"/>
        </w:rPr>
      </w:pPr>
      <w:r>
        <w:rPr>
          <w:rFonts w:hint="eastAsia"/>
          <w:lang w:val="en-US" w:eastAsia="zh-CN"/>
        </w:rPr>
        <w:t xml:space="preserve">  </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年区财政局金财工程</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4"/>
          <w:szCs w:val="24"/>
        </w:rPr>
      </w:pPr>
      <w:r>
        <w:rPr>
          <w:rFonts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评价类型：</w:t>
      </w:r>
      <w:r>
        <w:rPr>
          <w:rFonts w:hint="eastAsia" w:ascii="黑体" w:hAnsi="宋体" w:eastAsia="黑体" w:cs="黑体"/>
          <w:i w:val="0"/>
          <w:iCs w:val="0"/>
          <w:caps w:val="0"/>
          <w:color w:val="000000"/>
          <w:spacing w:val="0"/>
          <w:kern w:val="0"/>
          <w:sz w:val="32"/>
          <w:szCs w:val="32"/>
          <w:u w:val="single"/>
          <w:shd w:val="clear" w:fill="FFFFFF"/>
          <w:lang w:val="en-US" w:eastAsia="zh-CN" w:bidi="ar"/>
        </w:rPr>
        <w:t>              完成结果评价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项目名称：</w:t>
      </w:r>
      <w:r>
        <w:rPr>
          <w:rFonts w:hint="eastAsia" w:ascii="黑体" w:hAnsi="宋体" w:eastAsia="黑体" w:cs="黑体"/>
          <w:i w:val="0"/>
          <w:iCs w:val="0"/>
          <w:caps w:val="0"/>
          <w:color w:val="000000"/>
          <w:spacing w:val="0"/>
          <w:kern w:val="0"/>
          <w:sz w:val="32"/>
          <w:szCs w:val="32"/>
          <w:u w:val="single"/>
          <w:shd w:val="clear" w:fill="FFFFFF"/>
          <w:lang w:val="en-US" w:eastAsia="zh-CN" w:bidi="ar"/>
        </w:rPr>
        <w:t>              金财工程       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项目单位：</w:t>
      </w:r>
      <w:r>
        <w:rPr>
          <w:rFonts w:hint="eastAsia" w:ascii="黑体" w:hAnsi="宋体" w:eastAsia="黑体" w:cs="黑体"/>
          <w:i w:val="0"/>
          <w:iCs w:val="0"/>
          <w:caps w:val="0"/>
          <w:color w:val="000000"/>
          <w:spacing w:val="0"/>
          <w:kern w:val="0"/>
          <w:sz w:val="32"/>
          <w:szCs w:val="32"/>
          <w:u w:val="single"/>
          <w:shd w:val="clear" w:fill="FFFFFF"/>
          <w:lang w:val="en-US" w:eastAsia="zh-CN" w:bidi="ar"/>
        </w:rPr>
        <w:t>           新余市渝水区财政局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主管部门：</w:t>
      </w:r>
      <w:r>
        <w:rPr>
          <w:rFonts w:hint="eastAsia" w:ascii="黑体" w:hAnsi="宋体" w:eastAsia="黑体" w:cs="黑体"/>
          <w:i w:val="0"/>
          <w:iCs w:val="0"/>
          <w:caps w:val="0"/>
          <w:color w:val="000000"/>
          <w:spacing w:val="0"/>
          <w:kern w:val="0"/>
          <w:sz w:val="32"/>
          <w:szCs w:val="32"/>
          <w:u w:val="single"/>
          <w:shd w:val="clear" w:fill="FFFFFF"/>
          <w:lang w:val="en-US" w:eastAsia="zh-CN" w:bidi="ar"/>
        </w:rPr>
        <w:t>           新余市渝水区财政局     （盖章）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评价时间：</w:t>
      </w:r>
      <w:r>
        <w:rPr>
          <w:rFonts w:hint="eastAsia" w:ascii="黑体" w:hAnsi="宋体" w:eastAsia="黑体" w:cs="黑体"/>
          <w:i w:val="0"/>
          <w:iCs w:val="0"/>
          <w:caps w:val="0"/>
          <w:color w:val="000000"/>
          <w:spacing w:val="0"/>
          <w:kern w:val="0"/>
          <w:sz w:val="32"/>
          <w:szCs w:val="32"/>
          <w:u w:val="single"/>
          <w:shd w:val="clear" w:fill="FFFFFF"/>
          <w:lang w:val="en-US" w:eastAsia="zh-CN" w:bidi="ar"/>
        </w:rPr>
        <w:t>    2023年1月1日至2023年12月31日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评价机构：</w:t>
      </w:r>
      <w:r>
        <w:rPr>
          <w:rFonts w:hint="eastAsia" w:ascii="黑体" w:hAnsi="宋体" w:eastAsia="黑体" w:cs="黑体"/>
          <w:i w:val="0"/>
          <w:iCs w:val="0"/>
          <w:caps w:val="0"/>
          <w:color w:val="000000"/>
          <w:spacing w:val="0"/>
          <w:kern w:val="0"/>
          <w:sz w:val="32"/>
          <w:szCs w:val="32"/>
          <w:u w:val="single"/>
          <w:shd w:val="clear" w:fill="FFFFFF"/>
          <w:lang w:val="en-US" w:eastAsia="zh-CN" w:bidi="ar"/>
        </w:rPr>
        <w:t>     新余市渝水区财政局绩效评价小组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32"/>
          <w:szCs w:val="32"/>
          <w:shd w:val="clear" w:fill="FFFFFF"/>
          <w:lang w:val="en-US" w:eastAsia="zh-CN" w:bidi="ar"/>
        </w:rPr>
      </w:pPr>
      <w:r>
        <w:rPr>
          <w:rFonts w:hint="eastAsia" w:ascii="黑体" w:hAnsi="宋体" w:eastAsia="黑体" w:cs="黑体"/>
          <w:i w:val="0"/>
          <w:iCs w:val="0"/>
          <w:caps w:val="0"/>
          <w:color w:val="000000"/>
          <w:spacing w:val="0"/>
          <w:kern w:val="0"/>
          <w:sz w:val="32"/>
          <w:szCs w:val="32"/>
          <w:shd w:val="clear" w:fill="FFFFFF"/>
          <w:lang w:val="en-US" w:eastAsia="zh-CN" w:bidi="ar"/>
        </w:rPr>
        <w:t xml:space="preserve">                           2023年4月20日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根据《渝水区财政局关于开展202</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年度预算项目及部门整体支出绩效自评工作的通知》（渝财〔202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24</w:t>
      </w:r>
      <w:r>
        <w:rPr>
          <w:rFonts w:hint="eastAsia" w:ascii="仿宋_GB2312" w:hAnsi="仿宋_GB2312" w:eastAsia="仿宋_GB2312" w:cs="仿宋_GB2312"/>
          <w:i w:val="0"/>
          <w:iCs w:val="0"/>
          <w:caps w:val="0"/>
          <w:color w:val="000000"/>
          <w:spacing w:val="0"/>
          <w:sz w:val="32"/>
          <w:szCs w:val="32"/>
          <w:shd w:val="clear" w:fill="FFFFFF"/>
        </w:rPr>
        <w:t>号）文件精神，</w:t>
      </w:r>
      <w:r>
        <w:rPr>
          <w:rFonts w:hint="eastAsia" w:ascii="仿宋_GB2312" w:hAnsi="仿宋_GB2312" w:eastAsia="仿宋_GB2312" w:cs="仿宋_GB2312"/>
          <w:i w:val="0"/>
          <w:iCs w:val="0"/>
          <w:caps w:val="0"/>
          <w:color w:val="000000"/>
          <w:spacing w:val="0"/>
          <w:sz w:val="32"/>
          <w:szCs w:val="32"/>
          <w:shd w:val="clear" w:fill="FFFFFF"/>
          <w:lang w:eastAsia="zh-CN"/>
        </w:rPr>
        <w:t>新余市渝水</w:t>
      </w:r>
      <w:r>
        <w:rPr>
          <w:rFonts w:hint="eastAsia" w:ascii="仿宋_GB2312" w:hAnsi="仿宋_GB2312" w:eastAsia="仿宋_GB2312" w:cs="仿宋_GB2312"/>
          <w:i w:val="0"/>
          <w:iCs w:val="0"/>
          <w:caps w:val="0"/>
          <w:color w:val="000000"/>
          <w:spacing w:val="0"/>
          <w:sz w:val="32"/>
          <w:szCs w:val="32"/>
          <w:shd w:val="clear" w:fill="FFFFFF"/>
        </w:rPr>
        <w:t>区财政局开展了</w:t>
      </w:r>
      <w:r>
        <w:rPr>
          <w:rFonts w:hint="eastAsia" w:ascii="仿宋_GB2312" w:hAnsi="仿宋_GB2312" w:eastAsia="仿宋_GB2312" w:cs="仿宋_GB2312"/>
          <w:sz w:val="32"/>
          <w:szCs w:val="32"/>
        </w:rPr>
        <w:t>金财工程</w:t>
      </w:r>
      <w:r>
        <w:rPr>
          <w:rFonts w:hint="eastAsia" w:ascii="仿宋_GB2312" w:hAnsi="仿宋_GB2312" w:eastAsia="仿宋_GB2312" w:cs="仿宋_GB2312"/>
          <w:i w:val="0"/>
          <w:iCs w:val="0"/>
          <w:caps w:val="0"/>
          <w:color w:val="000000"/>
          <w:spacing w:val="0"/>
          <w:sz w:val="32"/>
          <w:szCs w:val="32"/>
          <w:shd w:val="clear" w:fill="FFFFFF"/>
        </w:rPr>
        <w:t>项目支出绩效评价工作，现报告如下：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一、基本情况</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项目背景简要情况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“金财工程”即政府财政管理信息系统（简称GFMIS），是利用先进的信息技术，支撑以预算编制、</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instrText xml:space="preserve"> HYPERLINK "https://baike.baidu.com/item/%C3%A5%E2%80%BA%C2%BD%C3%A5o%E2%80%9C%C3%A9%E2%80%BA%E2%80%A0%C3%A4%C2%B8-%C3%A6%E2%80%9D%CB%89%C3%A4%C2%BB%CB%9C/9389200" </w:instrTex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国库集中支付</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和宏观经济预测分析为核心应用的政府财政管理综合信息系统，是财政系统信息化建设目标和规划的统称。我区“金财工程”项目的实施，保障了财政业务系统与数据安全，保障了财政内网网络安全稳定，保障了财政内网终端电脑正常使用，有力的支撑了财政信息化建设。</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2.绩效目标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购置金财工程设备3台以上，保障金财工程6个以上系统正常运行。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2"/>
          <w:sz w:val="32"/>
          <w:szCs w:val="32"/>
          <w:shd w:val="clear" w:fill="FFFFFF"/>
          <w:lang w:val="en-US" w:eastAsia="zh-CN" w:bidi="ar-SA"/>
        </w:rPr>
      </w:pPr>
      <w:r>
        <w:rPr>
          <w:rFonts w:hint="eastAsia" w:ascii="黑体" w:hAnsi="黑体" w:eastAsia="黑体" w:cs="黑体"/>
          <w:b w:val="0"/>
          <w:bCs w:val="0"/>
          <w:i w:val="0"/>
          <w:iCs w:val="0"/>
          <w:caps w:val="0"/>
          <w:color w:val="000000"/>
          <w:spacing w:val="0"/>
          <w:kern w:val="2"/>
          <w:sz w:val="32"/>
          <w:szCs w:val="32"/>
          <w:shd w:val="clear" w:fill="FFFFFF"/>
          <w:lang w:val="en-US" w:eastAsia="zh-CN" w:bidi="ar-SA"/>
        </w:rPr>
        <w:t>二、绩效评价工作开展情况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562"/>
        <w:jc w:val="left"/>
        <w:textAlignment w:val="auto"/>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t>（一）绩效评价目的、对象和范围。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562"/>
        <w:jc w:val="left"/>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1、绩效评价目的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通过绩效评价，科学、客观、公正的对2023年度区财政局金财工程项目资金进行整体综合性评价，分析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562"/>
        <w:jc w:val="left"/>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2、绩效评价对象和范围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本项目绩效评价对象为2023年度区财政局金财工程项目，本次绩效评价范围是：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（1）绩效目标与战略发展规划的适应性；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（2）财政资金使用情况、财务管理状况和资产配置、使用、处置及其收益管理情况；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（3）为加强管理所制定的相关制度、采取的措施等；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（4）绩效目标的实现程度，包括是否达到预定产出和效果等；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（5）需要评价的其他内容。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562"/>
        <w:jc w:val="left"/>
        <w:textAlignment w:val="auto"/>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t>（二）绩效评价原则、评价指标体系、评价方法、评价标准等。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firstLine="643" w:firstLineChars="200"/>
        <w:jc w:val="left"/>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1、绩效评价原则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评价原则：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（1）科学规范原则。绩效评价注重财政支出的经济性、效率性和有效性，严格执行规定的程序，采用定量与定性分析相结合的方法。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（2）公正公开原则。绩效评价客观、公正，标准统一、资料可靠，依法公开并接受监督。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（3）分级分类原则。绩效评价由各级财政部门、部门（单位）根据评价对象的特点，分类组织实施。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（4）绩效相关原则。绩效评价针对具体支出及其产出绩效进行，评价结果清晰反映支出和产出绩效之间的紧密对应关系。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 根据以上原则，绩效评价应遵循如下要求：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（1）在数据采集时，采取客观数据，主管部门审查、社会中介组织复查，与问卷调查相结合的形式，以保证各项指标的真实性。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（2）保证评价结果的真实性、公正性，提高评价报告的公信力。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（3）绩效评价报告应当简明扼要，除了对绩效评价的过程、结果描述外，还应总结经验，指出问题，并就共性问题提出可操作性改进建议。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 评价依据：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（1）各专项资金管理的相关法律法规和政策性文件。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（2）《江西省财政厅关于转发财政部&lt;预算绩效评价共性指标体系框架&gt;的通知》的通知（洪财预〔2013〕69号）。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（3）《渝水区财政局关于开展2022年度预算项目及部门整体支出绩效自评工作的通知》（渝财〔2023〕24号）。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评价方法：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绩效评价的方法与指标体系围绕区财政局金财工程项目的任务、性质、功能和责任，从工作效率、服务质量、社会责任、经济管理和财务政策，市民与社会反响等角度建设该项目进行评价指标体系。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562"/>
        <w:jc w:val="left"/>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2、评价指标体系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根据财政部《预算绩效评价共性指标体系框架》等文化精神及本项目的具体特点，确定本次绩效评价指标的整体框架，包括执行率指标（资金落实）、产出指标（产出数量、产出质量、产出时效、产出成本）、效益指标（经济效益、社会效益、生态效益、可持续影响）、满意度指标（社会公众或服务对象满意度）</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绩效评价工作过程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1.前期准备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xml:space="preserve">根据区财政局绩效评价工作要求结合实施绩效评价的特点，成立绩效评价组，收集相关资料深入研究、 反复研讨，针对项目的特性设计相关表格进行了统计、分析、核实，作为项目评价信息并设计评价方案。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2.组织实施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为保证本次绩效评价结果的客观、公 正、科学，评价小组进行实地考察，了解项目开展、项目执行、项目管控、财务管理等情况，并进行问卷调查及开放式提问，以获取绩效评价业务需要的基础资料。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3.分析评价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通过政策文件、基础数据、资金使用效益、现场了解、查阅相关资料等多种信息，结合项目实施实际，对项目做出独立、客观、公正、实事求是的绩效评价，出具评价报告。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项目支出主要绩效（附项目支出绩效目标自评表）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（1）项目预期目标完成程度。我局严格按照上级财政部门对信息化资金的使用管理相关规定对专项资金进行专账管理和使用，确保方向合规、程序规范。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我局按照上级财政部门相关文件要求，对各项目严格履行政府采购程序，签订政府采购合同。</w:t>
      </w:r>
      <w:r>
        <w:rPr>
          <w:rFonts w:hint="eastAsia" w:ascii="仿宋_GB2312" w:hAnsi="仿宋_GB2312" w:eastAsia="仿宋_GB2312" w:cs="仿宋_GB2312"/>
          <w:color w:val="auto"/>
          <w:sz w:val="32"/>
          <w:szCs w:val="32"/>
          <w:lang w:eastAsia="zh-CN"/>
        </w:rPr>
        <w:t>购置金财工程设备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台以上，保障金财工程6个以上系统正常运行。</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项目建设达到了预期建设目标。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（2）项目实施对经济和社会的影响。规范财政行为，提高财政业务办理效率，促进社会和谐，提高财务管理水平，保证财政各系统持续健康运行，提高群众满意率。</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黑体" w:hAnsi="黑体" w:eastAsia="黑体"/>
          <w:sz w:val="32"/>
          <w:szCs w:val="32"/>
          <w:lang w:val="en-US" w:eastAsia="zh-CN"/>
        </w:rPr>
      </w:pPr>
      <w:r>
        <w:rPr>
          <w:rFonts w:hint="eastAsia" w:ascii="黑体" w:hAnsi="黑体" w:eastAsia="黑体"/>
          <w:sz w:val="32"/>
          <w:szCs w:val="32"/>
        </w:rPr>
        <w:t>综合评价情况及评价结论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通过项目的实施，我局产出的数量、质量普遍达到了预期，数量目标、质量目标均达成期初制定的绩效目标，信息化管理有了进一步的改善。这离不开领导的重视与各股室间的通力配合。2024年我们还将一如既往地坚持团结协作的方针，协调各科室间的权责，进一步做好规划，切实执行，争取更好的成效。综合评价结果优秀，评价结论97分。</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四</w:t>
      </w:r>
      <w:r>
        <w:rPr>
          <w:rFonts w:ascii="黑体" w:hAnsi="宋体" w:eastAsia="黑体" w:cs="黑体"/>
          <w:color w:val="000000"/>
          <w:kern w:val="0"/>
          <w:sz w:val="31"/>
          <w:szCs w:val="31"/>
          <w:lang w:val="en-US" w:eastAsia="zh-CN" w:bidi="ar"/>
        </w:rPr>
        <w:t xml:space="preserve">、绩效评价分析 </w:t>
      </w:r>
    </w:p>
    <w:p>
      <w:pPr>
        <w:keepNext w:val="0"/>
        <w:keepLines w:val="0"/>
        <w:widowControl/>
        <w:suppressLineNumbers w:val="0"/>
        <w:ind w:firstLine="643"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b/>
          <w:bCs/>
          <w:color w:val="000000"/>
          <w:kern w:val="0"/>
          <w:sz w:val="32"/>
          <w:szCs w:val="32"/>
          <w:lang w:val="en-US" w:eastAsia="zh-CN" w:bidi="ar"/>
        </w:rPr>
        <w:t xml:space="preserve">（一）项目决策情况 </w:t>
      </w:r>
    </w:p>
    <w:p>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xml:space="preserve">年初根据工作需要，科学论证、实事求是的编制项目预算。新增内容通过参考上级及兄弟单位情况，结合我单位具体内容合理确定实施。 </w:t>
      </w:r>
    </w:p>
    <w:p>
      <w:pPr>
        <w:keepNext w:val="0"/>
        <w:keepLines w:val="0"/>
        <w:widowControl/>
        <w:suppressLineNumbers w:val="0"/>
        <w:ind w:firstLine="643" w:firstLineChars="200"/>
        <w:jc w:val="left"/>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t xml:space="preserve">（二）项目管理情况 </w:t>
      </w:r>
    </w:p>
    <w:p>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xml:space="preserve">项目资金根据年初预算，经过使用人评价后，按照实际使用效果，经局务会讨论研究后支付。 </w:t>
      </w:r>
    </w:p>
    <w:p>
      <w:pPr>
        <w:keepNext w:val="0"/>
        <w:keepLines w:val="0"/>
        <w:widowControl/>
        <w:suppressLineNumbers w:val="0"/>
        <w:ind w:firstLine="643" w:firstLineChars="200"/>
        <w:jc w:val="left"/>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t xml:space="preserve">（三）项目产出情况 </w:t>
      </w:r>
    </w:p>
    <w:p>
      <w:pPr>
        <w:spacing w:line="600" w:lineRule="exact"/>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color w:val="auto"/>
          <w:sz w:val="32"/>
          <w:szCs w:val="32"/>
        </w:rPr>
        <w:t>绩效评价指标为数量指标金财工程设备购置数量</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台</w:t>
      </w:r>
      <w:r>
        <w:rPr>
          <w:rFonts w:hint="eastAsia" w:ascii="仿宋_GB2312" w:hAnsi="仿宋_GB2312" w:eastAsia="仿宋_GB2312" w:cs="仿宋_GB2312"/>
          <w:color w:val="auto"/>
          <w:sz w:val="32"/>
          <w:szCs w:val="32"/>
        </w:rPr>
        <w:t>，维护金财工程管理系统数量6</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质量指标设备检验合格率=100%，系统故障平均恢复时长（小时）</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24小时，</w:t>
      </w:r>
      <w:r>
        <w:rPr>
          <w:rFonts w:hint="eastAsia" w:ascii="仿宋_GB2312" w:hAnsi="仿宋_GB2312" w:eastAsia="仿宋_GB2312" w:cs="仿宋_GB2312"/>
          <w:color w:val="auto"/>
          <w:sz w:val="32"/>
          <w:szCs w:val="32"/>
        </w:rPr>
        <w:t>时效指标及时安装设备购置到位，响应系统故障</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社会效益指系统正常运行率（%）=100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设备利用率（%）=100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使用者满意度</w:t>
      </w:r>
      <w:r>
        <w:rPr>
          <w:rFonts w:hint="eastAsia" w:ascii="仿宋_GB2312" w:hAnsi="仿宋_GB2312" w:eastAsia="仿宋_GB2312" w:cs="仿宋_GB2312"/>
          <w:color w:val="auto"/>
          <w:sz w:val="32"/>
          <w:szCs w:val="32"/>
          <w:lang w:eastAsia="zh-CN"/>
        </w:rPr>
        <w:t>指标为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xml:space="preserve">该项目以大型信息网络为支撑,以细化的部门预算为基础，以所有财政收支全部进入国库单一账户为基本模式，以预算指标、用款计划和采购订单为预算执行的主要控制机制，以出纳环节高度集中并实现国库现金的有效调度为特征，详细记录每个用款单位每一笔财政资金收支的来龙去脉。"金财工程"覆盖了财政收支管理的全过程，可监控任一时间点的财政资金收支状况，大大减少预算执行的随意性，从根本上防止财政资金的体外运行和沉淀。 </w:t>
      </w:r>
    </w:p>
    <w:p>
      <w:pPr>
        <w:keepNext w:val="0"/>
        <w:keepLines w:val="0"/>
        <w:widowControl/>
        <w:suppressLineNumbers w:val="0"/>
        <w:ind w:firstLine="643" w:firstLineChars="200"/>
        <w:jc w:val="left"/>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fill="FFFFFF"/>
          <w:lang w:val="en-US" w:eastAsia="zh-CN" w:bidi="ar-SA"/>
        </w:rPr>
        <w:t xml:space="preserve">（四）项目效果情况 </w:t>
      </w:r>
    </w:p>
    <w:p>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该项目的实施对于加快社会主义市场经济体制的建立和促进国民经济管理的现代化，规范财政预算管理，提高国库资金使用效率，增强财政决策的科学性和财政工作的透明度，加强廉政建设实现依法理财等都具有十分重要的意义。</w:t>
      </w:r>
    </w:p>
    <w:p>
      <w:pPr>
        <w:keepNext w:val="0"/>
        <w:keepLines w:val="0"/>
        <w:widowControl/>
        <w:suppressLineNumbers w:val="0"/>
        <w:ind w:firstLine="640" w:firstLineChars="200"/>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五</w:t>
      </w:r>
      <w:r>
        <w:rPr>
          <w:rFonts w:hint="eastAsia" w:ascii="黑体" w:hAnsi="黑体" w:eastAsia="黑体" w:cs="黑体"/>
          <w:i w:val="0"/>
          <w:iCs w:val="0"/>
          <w:caps w:val="0"/>
          <w:color w:val="333333"/>
          <w:spacing w:val="0"/>
          <w:sz w:val="32"/>
          <w:szCs w:val="32"/>
          <w:shd w:val="clear" w:fill="FFFFFF"/>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由于政策、资金拨付等相关原因，存在资金使用进度有些缓慢。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六</w:t>
      </w:r>
      <w:r>
        <w:rPr>
          <w:rFonts w:hint="eastAsia" w:ascii="黑体" w:hAnsi="黑体" w:eastAsia="黑体" w:cs="黑体"/>
          <w:i w:val="0"/>
          <w:iCs w:val="0"/>
          <w:caps w:val="0"/>
          <w:color w:val="333333"/>
          <w:spacing w:val="0"/>
          <w:sz w:val="32"/>
          <w:szCs w:val="32"/>
          <w:shd w:val="clear" w:fill="FFFFFF"/>
        </w:rPr>
        <w:t>、有关建议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（一）建议及时对项目进行管理，确保专项经费专款专用，按规定落实到位。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（二）建议加强业务培训，组织相关单位人员学习交流以拓展工作思路。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（三）建议完善各项运行维护制度，制定维护措施、落实维护责任，保证项目正常运转，发挥长期效益。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i w:val="0"/>
          <w:iCs w:val="0"/>
          <w:caps w:val="0"/>
          <w:color w:val="333333"/>
          <w:spacing w:val="0"/>
          <w:sz w:val="32"/>
          <w:szCs w:val="32"/>
          <w:shd w:val="clear" w:fill="FFFFFF"/>
          <w:lang w:eastAsia="zh-CN"/>
        </w:rPr>
        <w:t>七</w:t>
      </w:r>
      <w:r>
        <w:rPr>
          <w:rFonts w:hint="eastAsia" w:ascii="黑体" w:hAnsi="黑体" w:eastAsia="黑体" w:cs="黑体"/>
          <w:i w:val="0"/>
          <w:iCs w:val="0"/>
          <w:caps w:val="0"/>
          <w:color w:val="333333"/>
          <w:spacing w:val="0"/>
          <w:sz w:val="32"/>
          <w:szCs w:val="32"/>
          <w:shd w:val="clear" w:fill="FFFFFF"/>
        </w:rPr>
        <w:t>、其他需要说明的问题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无。</w:t>
      </w:r>
    </w:p>
    <w:p>
      <w:pPr>
        <w:ind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p>
    <w:p>
      <w:pPr>
        <w:pStyle w:val="2"/>
        <w:numPr>
          <w:ilvl w:val="0"/>
          <w:numId w:val="0"/>
        </w:numPr>
        <w:rPr>
          <w:rFonts w:hint="default" w:eastAsia="宋体"/>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etter Gothic Std">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773AB"/>
    <w:multiLevelType w:val="singleLevel"/>
    <w:tmpl w:val="EDF773AB"/>
    <w:lvl w:ilvl="0" w:tentative="0">
      <w:start w:val="3"/>
      <w:numFmt w:val="chineseCounting"/>
      <w:suff w:val="nothing"/>
      <w:lvlText w:val="%1、"/>
      <w:lvlJc w:val="left"/>
      <w:rPr>
        <w:rFonts w:hint="eastAsia"/>
      </w:rPr>
    </w:lvl>
  </w:abstractNum>
  <w:abstractNum w:abstractNumId="1">
    <w:nsid w:val="1B93EB5A"/>
    <w:multiLevelType w:val="singleLevel"/>
    <w:tmpl w:val="1B93EB5A"/>
    <w:lvl w:ilvl="0" w:tentative="0">
      <w:start w:val="1"/>
      <w:numFmt w:val="chineseCounting"/>
      <w:suff w:val="nothing"/>
      <w:lvlText w:val="%1、"/>
      <w:lvlJc w:val="left"/>
      <w:rPr>
        <w:rFonts w:hint="eastAsia"/>
      </w:rPr>
    </w:lvl>
  </w:abstractNum>
  <w:abstractNum w:abstractNumId="2">
    <w:nsid w:val="557AA833"/>
    <w:multiLevelType w:val="singleLevel"/>
    <w:tmpl w:val="557AA833"/>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WYzMDlmYjMxYTYxNjBlNTJhNmNmOWMyOTJlM2UifQ=="/>
    <w:docVar w:name="KSO_WPS_MARK_KEY" w:val="2b8fed7f-6dc5-443d-bb3f-63ff6f8acd29"/>
  </w:docVars>
  <w:rsids>
    <w:rsidRoot w:val="00000000"/>
    <w:rsid w:val="06964367"/>
    <w:rsid w:val="08386440"/>
    <w:rsid w:val="09E272DE"/>
    <w:rsid w:val="101D021D"/>
    <w:rsid w:val="104F2DB6"/>
    <w:rsid w:val="157F36F3"/>
    <w:rsid w:val="196D06F6"/>
    <w:rsid w:val="1F617814"/>
    <w:rsid w:val="27C70430"/>
    <w:rsid w:val="2A0C3077"/>
    <w:rsid w:val="2B8352CE"/>
    <w:rsid w:val="2BC135D2"/>
    <w:rsid w:val="3ADE73B2"/>
    <w:rsid w:val="444B0C73"/>
    <w:rsid w:val="47DF0034"/>
    <w:rsid w:val="4BE31F88"/>
    <w:rsid w:val="4DB75579"/>
    <w:rsid w:val="69B47B3F"/>
    <w:rsid w:val="6DE76703"/>
    <w:rsid w:val="724D7DA4"/>
    <w:rsid w:val="76477CBF"/>
    <w:rsid w:val="7CE325F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widowControl w:val="0"/>
      <w:kinsoku/>
      <w:autoSpaceDE/>
      <w:autoSpaceDN/>
      <w:adjustRightInd/>
      <w:snapToGrid/>
      <w:jc w:val="both"/>
      <w:textAlignment w:val="auto"/>
    </w:pPr>
    <w:rPr>
      <w:rFonts w:ascii="宋体" w:hAnsi="Letter Gothic Std" w:eastAsia="宋体" w:cs="Times New Roman"/>
      <w:snapToGrid/>
      <w:color w:val="auto"/>
      <w:kern w:val="2"/>
      <w:lang w:eastAsia="zh-CN"/>
    </w:rPr>
  </w:style>
  <w:style w:type="paragraph" w:styleId="3">
    <w:name w:val="Normal Indent"/>
    <w:basedOn w:val="1"/>
    <w:next w:val="1"/>
    <w:unhideWhenUsed/>
    <w:qFormat/>
    <w:uiPriority w:val="99"/>
    <w:pPr>
      <w:ind w:firstLine="420" w:firstLineChars="200"/>
    </w:pPr>
  </w:style>
  <w:style w:type="paragraph" w:styleId="4">
    <w:name w:val="Body Text Indent"/>
    <w:basedOn w:val="1"/>
    <w:next w:val="3"/>
    <w:qFormat/>
    <w:uiPriority w:val="99"/>
    <w:pPr>
      <w:spacing w:after="120"/>
      <w:ind w:left="420" w:leftChars="200"/>
    </w:p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4"/>
    <w:next w:val="1"/>
    <w:qFormat/>
    <w:uiPriority w:val="99"/>
    <w:pPr>
      <w:ind w:firstLine="420" w:firstLineChars="200"/>
    </w:pPr>
    <w:rPr>
      <w:rFonts w:ascii="Times New Roman" w:hAnsi="Times New Roman" w:cs="Times New Roman"/>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 w:type="paragraph" w:customStyle="1" w:styleId="21">
    <w:name w:val="p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13692</Words>
  <Characters>16372</Characters>
  <Lines>119</Lines>
  <Paragraphs>33</Paragraphs>
  <TotalTime>0</TotalTime>
  <ScaleCrop>false</ScaleCrop>
  <LinksUpToDate>false</LinksUpToDate>
  <CharactersWithSpaces>16890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恬宝是小天使</cp:lastModifiedBy>
  <cp:lastPrinted>2024-09-18T01:42:00Z</cp:lastPrinted>
  <dcterms:modified xsi:type="dcterms:W3CDTF">2024-09-19T02:12:39Z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452529439AB64FFCB0ADE037F57468EB_13</vt:lpwstr>
  </property>
</Properties>
</file>