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D7C5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3FCF73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08CB30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江西省企业创新积分制（科技领域）</w:t>
      </w:r>
    </w:p>
    <w:p w14:paraId="62A91F4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应用赋能工作指引</w:t>
      </w:r>
    </w:p>
    <w:p w14:paraId="685EF5C5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highlight w:val="none"/>
        </w:rPr>
      </w:pPr>
    </w:p>
    <w:p w14:paraId="3BFC06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第一章  总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则</w:t>
      </w:r>
    </w:p>
    <w:p w14:paraId="1A5EB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  <w:shd w:val="clear" w:color="auto" w:fill="FFFFFF"/>
        </w:rPr>
        <w:t>第一条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为进一步强化企业创新主体地位，精准引导各类创新资源向企业集聚，持续放大企业创新积分的政策效能，根据科技部《“创新积分制”工作指引（全国试行版）》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扩大创新积分应用范围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等有关要求，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结合科技部门职能，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制定本指引。</w:t>
      </w:r>
    </w:p>
    <w:p w14:paraId="500CFC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  <w:shd w:val="clear" w:color="auto" w:fill="FFFFFF"/>
        </w:rPr>
        <w:t>第二条</w:t>
      </w:r>
      <w:bookmarkStart w:id="0" w:name="_Hlk193881031"/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本指引适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用于</w:t>
      </w:r>
      <w:bookmarkEnd w:id="0"/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科技领域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工作的创新积分制应用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，包括但不仅限于企业梯次培育、科技项目申报、创新平台建设、科技人才服务、科技金融服务等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为科技型企业提供的服务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</w:t>
      </w:r>
    </w:p>
    <w:p w14:paraId="0DD8F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  <w:shd w:val="clear" w:color="auto" w:fill="FFFFFF"/>
        </w:rPr>
        <w:t>第三条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本指引适用场景采取周期性优化机制，根据年度科技创新工作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实际，视需要适时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调整。</w:t>
      </w:r>
    </w:p>
    <w:p w14:paraId="7FD83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第二章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一般条件</w:t>
      </w:r>
    </w:p>
    <w:p w14:paraId="6E3E9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  <w:shd w:val="clear" w:color="auto" w:fill="FFFFFF"/>
        </w:rPr>
        <w:t>第四条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本指引所适用的企业，是指在江西省内注册的，并在江西省创新积分信息服务平台上拥有创新积分评价结果，按照ABCD四个类别列入全省创新积分榜单的企业。</w:t>
      </w:r>
    </w:p>
    <w:p w14:paraId="3C38E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  <w:shd w:val="clear" w:color="auto" w:fill="FFFFFF"/>
        </w:rPr>
        <w:t>第五条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本指引适用场景使用创新积分，主要分为三种方式。一是作为准入条件，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企业通过创新积分可申请的创新资源；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二是作为优先条件，支持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高等级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同等条件下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获得优先推荐权；三是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作为附加条件，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将创新积分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整合纳入企业项目、平台、人才申请时的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附加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评分体系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</w:t>
      </w:r>
    </w:p>
    <w:p w14:paraId="2DA41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第三章  应用场景</w:t>
      </w:r>
    </w:p>
    <w:p w14:paraId="74F41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  <w:shd w:val="clear" w:color="auto" w:fill="FFFFFF"/>
        </w:rPr>
        <w:t>第六条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企业梯次培育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应用场景</w:t>
      </w:r>
    </w:p>
    <w:p w14:paraId="6B4213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1．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 w:bidi="ar"/>
        </w:rPr>
        <w:t>对于企业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上年度企业创新积分在B级及以上的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，在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申报国家高新技术企业资格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时，可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在市、县（区）科技主管部门审核环节优先推荐。</w:t>
      </w:r>
    </w:p>
    <w:p w14:paraId="216974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2．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 w:bidi="ar"/>
        </w:rPr>
        <w:t>对于企业创新积分在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C级及以上的，优先审核推荐支持纳入科技型中小企业。</w:t>
      </w:r>
    </w:p>
    <w:p w14:paraId="11F432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3．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在高成长性企业资格评审中，将企业创新积分按10%的权重列入考核指标。</w:t>
      </w:r>
    </w:p>
    <w:p w14:paraId="600FF7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  <w:shd w:val="clear" w:color="auto" w:fill="FFFFFF"/>
        </w:rPr>
        <w:t>第七条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　技术创新支持应用场景</w:t>
      </w:r>
    </w:p>
    <w:p w14:paraId="3D6F59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4．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对于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企业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年度创新积分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达到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A级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 w:bidi="ar"/>
        </w:rPr>
        <w:t>的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企业，若技术创新类项目面向产业一线，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科技重大专项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 w:bidi="ar"/>
        </w:rPr>
        <w:t>各项目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牵头单位是企业的，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 w:bidi="ar"/>
        </w:rPr>
        <w:t>综合评审得分可加计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3分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。</w:t>
      </w:r>
    </w:p>
    <w:p w14:paraId="3E93A32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5．对于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企业创新积分达到A级的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企业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，在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作为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项目牵头单位申报重点研发计划时，其综合评审得分可加计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bidi="ar"/>
        </w:rPr>
        <w:t>3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分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在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作为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项目牵头单位申报江西省重大科技成果熟化与工程化研究项目时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其综合评审得分可加计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分。</w:t>
      </w:r>
    </w:p>
    <w:p w14:paraId="57B8F7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6．对于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企业创新积分达到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B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级的，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在作为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项目牵头单位申报重点研发计划时，其综合评审得分可加计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bidi="ar"/>
        </w:rPr>
        <w:t>1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分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在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作为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项目牵头单位申报江西省重大科技成果熟化与工程化研究项目时，其综合评审得分可加计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分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 w:bidi="ar"/>
        </w:rPr>
        <w:t>。</w:t>
      </w:r>
    </w:p>
    <w:p w14:paraId="0AF26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  <w:shd w:val="clear" w:color="auto" w:fill="FFFFFF"/>
        </w:rPr>
        <w:t>第八条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企业创新平台建设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应用场景</w:t>
      </w:r>
    </w:p>
    <w:p w14:paraId="41BAC9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-SA"/>
        </w:rPr>
        <w:t>7．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对于首次申报省级创新平台的企业，包括成果转化与产业类创新平台、技术创新类平台等，其上年度企业创新积分原则上应为A级，共建单位上年度企业创新积分原则上不低于B级。</w:t>
      </w:r>
    </w:p>
    <w:p w14:paraId="09B181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-SA"/>
        </w:rPr>
        <w:t>8．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积极探索企业将积分按需兑换实验室设备共享、联合研发及数据资源调用等科研服务。</w:t>
      </w:r>
    </w:p>
    <w:p w14:paraId="5E384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  <w:shd w:val="clear" w:color="auto" w:fill="FFFFFF"/>
        </w:rPr>
        <w:t>第九条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科技人才服务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应用场景</w:t>
      </w:r>
    </w:p>
    <w:p w14:paraId="583806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-SA"/>
        </w:rPr>
        <w:t>9．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对于企业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创新积分达到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A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级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的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企业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可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享有10个推荐名额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对符合条件的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技术骨干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推荐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被推荐人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可直接纳入省科技专家库企业专家序列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优先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支持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企业入库专家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参与省科技厅组织的指南编制、立项评审、绩效评价等科技管理活动（须遵守利益回避原则）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。</w:t>
      </w:r>
    </w:p>
    <w:p w14:paraId="3EA5D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-SA"/>
        </w:rPr>
        <w:t>10．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对于企业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创新积分达到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B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级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的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企业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"/>
        </w:rPr>
        <w:t>可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享有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个推荐名额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对符合条件的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技术骨干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推荐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被推荐人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可直接纳入省科技专家库企业专家序列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优先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支持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企业入库专家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参与省科技厅组织的指南编制、立项评审、绩效评价等科技管理活动（须遵守利益回避原则）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。</w:t>
      </w:r>
    </w:p>
    <w:p w14:paraId="6B68C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-SA"/>
        </w:rPr>
        <w:t>11．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对企业创新积分达到B级及以上的企业，优先支持“科技副总”领衔（参与）省重点创新产业化升级工程项目、省科技成果熟化与工程化研究项目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bidi="ar"/>
        </w:rPr>
        <w:t>。</w:t>
      </w:r>
    </w:p>
    <w:p w14:paraId="34ED35A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  <w:shd w:val="clear" w:color="auto" w:fill="FFFFFF"/>
        </w:rPr>
        <w:t>第十条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科技金融服务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应用场景</w:t>
      </w:r>
    </w:p>
    <w:p w14:paraId="0DE75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-SA"/>
        </w:rPr>
        <w:t>12．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对于创新积分达到B级及以上的企业，优先纳入“科贷通”融资攻坚工程重点服务企业名单，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优先向科创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基金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省内银行机构推介。</w:t>
      </w:r>
    </w:p>
    <w:p w14:paraId="5D4BC5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 w:bidi="ar-SA"/>
        </w:rPr>
        <w:t>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建立“创新积分+银行信贷”联动机制，定期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与我厅建立战略合作伙伴关系的金融机构对接，推送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企业创新积分榜单，促进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企业获得融资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</w:t>
      </w:r>
    </w:p>
    <w:p w14:paraId="32E250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第四章  组织保障</w:t>
      </w:r>
    </w:p>
    <w:p w14:paraId="3FB570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  <w:shd w:val="clear" w:color="auto" w:fill="FFFFFF"/>
        </w:rPr>
        <w:t>第十一条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省科技厅加强对企业创新积分制应用赋能的组织领导和统筹协调，重点引导各类创新资源向企业集聚，不断放大政策效能。</w:t>
      </w:r>
    </w:p>
    <w:p w14:paraId="0C0CC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  <w:shd w:val="clear" w:color="auto" w:fill="FFFFFF"/>
        </w:rPr>
        <w:t>第十二条</w:t>
      </w: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  <w:shd w:val="clear" w:color="auto" w:fill="FFFFFF"/>
          <w:lang w:eastAsia="zh-CN"/>
        </w:rPr>
        <w:t>　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shd w:val="clear" w:color="auto" w:fill="FFFFFF"/>
        </w:rPr>
        <w:t>各地各部门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要切实加强科技活动参与主体的监督管理，严格履行自身职责，加强对本地区企业科技活动的审核把关，强化过程管理和风险防范。</w:t>
      </w:r>
    </w:p>
    <w:p w14:paraId="1EE1CA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</w:p>
    <w:p w14:paraId="17DBAA76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</w:p>
    <w:p w14:paraId="32602A8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73368"/>
    <w:rsid w:val="6197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napToGrid/>
      <w:spacing w:line="560" w:lineRule="exact"/>
      <w:ind w:firstLine="602" w:firstLineChars="200"/>
    </w:pPr>
    <w:rPr>
      <w:rFonts w:ascii="楷体_GB2312" w:eastAsia="楷体_GB2312"/>
      <w:b/>
      <w:kern w:val="2"/>
      <w:sz w:val="30"/>
      <w:szCs w:val="20"/>
    </w:rPr>
  </w:style>
  <w:style w:type="paragraph" w:styleId="3">
    <w:name w:val="Normal Indent"/>
    <w:basedOn w:val="1"/>
    <w:next w:val="1"/>
    <w:qFormat/>
    <w:uiPriority w:val="0"/>
    <w:pPr>
      <w:autoSpaceDE w:val="0"/>
      <w:autoSpaceDN w:val="0"/>
      <w:adjustRightInd w:val="0"/>
      <w:snapToGrid w:val="0"/>
      <w:spacing w:line="520" w:lineRule="exact"/>
      <w:ind w:firstLine="420" w:firstLineChars="200"/>
    </w:pPr>
    <w:rPr>
      <w:rFonts w:ascii="宋体" w:hAnsi="宋体" w:cs="宋体"/>
      <w:sz w:val="22"/>
      <w:szCs w:val="22"/>
      <w:lang w:val="zh-CN" w:bidi="zh-CN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2025-11-06T02:13:00Z</dcterms:created>
  <dc:creator>牛皮不是牛皮是皮</dc:creator>
  <cp:lastModifiedBy>牛皮不是牛皮是皮</cp:lastModifiedBy>
  <dcterms:modified xsi:type="dcterms:W3CDTF">2025-11-06T02:14:10Z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9CD060B2136145FDA0652998EC927C14_11</vt:lpwstr>
  </property>
  <property fmtid="{D5CDD505-2E9C-101B-9397-08002B2CF9AE}" pid="4" name="KSOTemplateDocerSaveRecord">
    <vt:lpwstr>eyJoZGlkIjoiMWMwMDM2M2FhYzlhNjg5OGQ1OWNhMTg2NmIzNzMxY2EiLCJ1c2VySWQiOiIxMDI0NzAwNjI2In0=</vt:lpwstr>
  </property>
</Properties>
</file>