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3ABCC">
      <w:pPr>
        <w:pStyle w:val="16"/>
        <w:bidi w:val="0"/>
        <w:rPr>
          <w:rFonts w:hint="eastAsia"/>
        </w:rPr>
      </w:pPr>
      <w:r>
        <w:rPr>
          <w:rFonts w:hint="eastAsia"/>
          <w:lang w:eastAsia="zh-CN"/>
        </w:rPr>
        <w:t>新余市渝水区文化广电旅游局（部门）2026</w:t>
      </w:r>
      <w:r>
        <w:rPr>
          <w:rFonts w:hint="eastAsia"/>
        </w:rPr>
        <w:t>年部门预算</w:t>
      </w:r>
    </w:p>
    <w:p w14:paraId="336CDCE6">
      <w:pPr>
        <w:pStyle w:val="13"/>
        <w:spacing w:line="600" w:lineRule="atLeast"/>
        <w:jc w:val="center"/>
        <w:rPr>
          <w:rFonts w:ascii="黑体" w:hAnsi="黑体" w:eastAsia="黑体"/>
          <w:color w:val="000000"/>
          <w:sz w:val="32"/>
          <w:szCs w:val="32"/>
        </w:rPr>
      </w:pPr>
    </w:p>
    <w:p w14:paraId="71570F68">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A411FBD">
      <w:pPr>
        <w:pStyle w:val="13"/>
        <w:rPr>
          <w:rFonts w:ascii="宋体" w:hAnsi="宋体"/>
          <w:color w:val="000000"/>
        </w:rPr>
      </w:pPr>
    </w:p>
    <w:p w14:paraId="1A238710">
      <w:pPr>
        <w:pStyle w:val="17"/>
        <w:numPr>
          <w:ilvl w:val="0"/>
          <w:numId w:val="0"/>
        </w:numPr>
        <w:bidi w:val="0"/>
        <w:ind w:left="420" w:leftChars="200"/>
        <w:jc w:val="left"/>
        <w:rPr>
          <w:rFonts w:hint="eastAsia"/>
          <w:lang w:eastAsia="zh-CN"/>
        </w:rPr>
      </w:pPr>
      <w:r>
        <w:rPr>
          <w:rFonts w:hint="eastAsia"/>
          <w:lang w:val="en-US" w:eastAsia="zh-CN"/>
        </w:rPr>
        <w:t>第一部分  新余市渝水区文化广电旅游局（部门）概况</w:t>
      </w:r>
    </w:p>
    <w:p w14:paraId="1A6340A0">
      <w:pPr>
        <w:pStyle w:val="18"/>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36327D4D">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0F22F933">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新余市渝水区文化广电旅游局（部门）2026</w:t>
      </w:r>
      <w:r>
        <w:rPr>
          <w:rFonts w:hint="eastAsia"/>
        </w:rPr>
        <w:t>年部门预算表</w:t>
      </w:r>
    </w:p>
    <w:p w14:paraId="1FB5D58A">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05F1944B">
      <w:pPr>
        <w:pStyle w:val="18"/>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01CBFD54">
      <w:pPr>
        <w:pStyle w:val="18"/>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0F42F642">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43FC8E5B">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704A3DE5">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09956A4B">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6303BEE9">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5F4DFB21">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7DCCA0F3">
      <w:pPr>
        <w:pStyle w:val="18"/>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2BA0B8AA">
      <w:pPr>
        <w:pStyle w:val="18"/>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3352366F">
      <w:pPr>
        <w:pStyle w:val="17"/>
        <w:numPr>
          <w:ilvl w:val="0"/>
          <w:numId w:val="0"/>
        </w:numPr>
        <w:bidi w:val="0"/>
        <w:ind w:left="420" w:leftChars="200"/>
        <w:jc w:val="left"/>
        <w:rPr>
          <w:rFonts w:hint="eastAsia"/>
          <w:lang w:eastAsia="zh-CN"/>
        </w:rPr>
      </w:pPr>
      <w:r>
        <w:rPr>
          <w:rFonts w:hint="eastAsia"/>
          <w:lang w:eastAsia="zh-CN"/>
        </w:rPr>
        <w:t>第三部分 新余市渝水区文化广电旅游局（部门） 2026年部门预算情况说明</w:t>
      </w:r>
    </w:p>
    <w:p w14:paraId="09DF8F6A">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5CF4F94A">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5B456AAF">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4DBDB18D">
      <w:pPr>
        <w:pStyle w:val="17"/>
        <w:numPr>
          <w:ilvl w:val="0"/>
          <w:numId w:val="0"/>
        </w:numPr>
        <w:bidi w:val="0"/>
        <w:ind w:left="420" w:leftChars="200"/>
        <w:jc w:val="left"/>
        <w:rPr>
          <w:rFonts w:hint="eastAsia"/>
          <w:lang w:eastAsia="zh-CN"/>
        </w:rPr>
      </w:pPr>
      <w:r>
        <w:rPr>
          <w:rFonts w:hint="eastAsia"/>
          <w:lang w:eastAsia="zh-CN"/>
        </w:rPr>
        <w:t>第四部分  名词解释</w:t>
      </w:r>
    </w:p>
    <w:p w14:paraId="50C9F06A">
      <w:pPr>
        <w:widowControl/>
        <w:spacing w:line="580" w:lineRule="exact"/>
        <w:jc w:val="center"/>
        <w:rPr>
          <w:rFonts w:ascii="仿宋_GB2312" w:eastAsia="仿宋_GB2312"/>
          <w:b/>
          <w:sz w:val="32"/>
          <w:szCs w:val="30"/>
        </w:rPr>
      </w:pPr>
    </w:p>
    <w:p w14:paraId="12294DC7">
      <w:pPr>
        <w:widowControl/>
        <w:spacing w:line="580" w:lineRule="exact"/>
        <w:jc w:val="center"/>
        <w:rPr>
          <w:rFonts w:ascii="仿宋_GB2312" w:eastAsia="仿宋_GB2312"/>
          <w:b/>
          <w:sz w:val="32"/>
          <w:szCs w:val="30"/>
        </w:rPr>
      </w:pPr>
    </w:p>
    <w:p w14:paraId="139FCC70">
      <w:pPr>
        <w:pStyle w:val="17"/>
        <w:numPr>
          <w:ilvl w:val="0"/>
          <w:numId w:val="0"/>
        </w:numPr>
        <w:bidi w:val="0"/>
        <w:ind w:left="420" w:leftChars="200"/>
        <w:jc w:val="center"/>
        <w:rPr>
          <w:rFonts w:hint="eastAsia"/>
          <w:lang w:eastAsia="zh-CN"/>
        </w:rPr>
      </w:pPr>
      <w:r>
        <w:rPr>
          <w:rFonts w:hint="eastAsia"/>
          <w:lang w:eastAsia="zh-CN"/>
        </w:rPr>
        <w:t>第一部分  新余市渝水区文化广电旅游局（部门）概况</w:t>
      </w:r>
    </w:p>
    <w:p w14:paraId="68201A2F">
      <w:pPr>
        <w:widowControl/>
        <w:spacing w:line="580" w:lineRule="exact"/>
        <w:jc w:val="left"/>
        <w:rPr>
          <w:rFonts w:asciiTheme="minorEastAsia" w:hAnsiTheme="minorEastAsia"/>
          <w:b/>
          <w:sz w:val="36"/>
          <w:szCs w:val="36"/>
        </w:rPr>
      </w:pPr>
    </w:p>
    <w:p w14:paraId="35E396F2">
      <w:pPr>
        <w:pStyle w:val="17"/>
        <w:numPr>
          <w:ilvl w:val="0"/>
          <w:numId w:val="0"/>
        </w:numPr>
        <w:bidi w:val="0"/>
        <w:ind w:left="420" w:leftChars="200" w:firstLine="320" w:firstLineChars="100"/>
        <w:rPr>
          <w:rFonts w:hint="eastAsia"/>
        </w:rPr>
      </w:pPr>
      <w:r>
        <w:rPr>
          <w:rFonts w:hint="eastAsia"/>
        </w:rPr>
        <w:t>一、部门主要职责</w:t>
      </w:r>
    </w:p>
    <w:p w14:paraId="6A908130">
      <w:pPr>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t>渝水区文广旅局是主管文化艺术、</w:t>
      </w:r>
      <w:r>
        <w:rPr>
          <w:rFonts w:hint="eastAsia" w:ascii="仿宋_GB2312" w:eastAsia="仿宋_GB2312"/>
          <w:sz w:val="32"/>
          <w:szCs w:val="32"/>
          <w:lang w:eastAsia="zh-CN"/>
        </w:rPr>
        <w:t>旅游产业</w:t>
      </w:r>
      <w:r>
        <w:rPr>
          <w:rFonts w:hint="eastAsia" w:ascii="仿宋_GB2312" w:eastAsia="仿宋_GB2312"/>
          <w:sz w:val="32"/>
          <w:szCs w:val="32"/>
        </w:rPr>
        <w:t>、</w:t>
      </w:r>
      <w:r>
        <w:rPr>
          <w:rFonts w:hint="eastAsia" w:ascii="仿宋_GB2312" w:eastAsia="仿宋_GB2312"/>
          <w:sz w:val="32"/>
          <w:szCs w:val="32"/>
          <w:lang w:eastAsia="zh-CN"/>
        </w:rPr>
        <w:t>文旅市场</w:t>
      </w:r>
      <w:r>
        <w:rPr>
          <w:rFonts w:hint="eastAsia" w:ascii="仿宋_GB2312" w:eastAsia="仿宋_GB2312"/>
          <w:sz w:val="32"/>
          <w:szCs w:val="32"/>
        </w:rPr>
        <w:t>工作的区政府组成部门（直属机构），主要职责是：</w:t>
      </w:r>
    </w:p>
    <w:p w14:paraId="0F76759B">
      <w:pPr>
        <w:spacing w:after="0" w:line="60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rPr>
        <w:fldChar w:fldCharType="begin"/>
      </w:r>
      <w:r>
        <w:rPr>
          <w:rFonts w:hint="eastAsia" w:ascii="仿宋_GB2312" w:eastAsia="仿宋_GB2312"/>
          <w:sz w:val="32"/>
          <w:szCs w:val="32"/>
        </w:rPr>
        <w:instrText xml:space="preserve"> = 1 \* GB2 </w:instrText>
      </w:r>
      <w:r>
        <w:rPr>
          <w:rFonts w:hint="eastAsia" w:ascii="仿宋_GB2312" w:eastAsia="仿宋_GB2312"/>
          <w:sz w:val="32"/>
          <w:szCs w:val="32"/>
        </w:rPr>
        <w:fldChar w:fldCharType="separate"/>
      </w:r>
      <w:r>
        <w:rPr>
          <w:rFonts w:hint="eastAsia" w:ascii="仿宋_GB2312" w:eastAsia="仿宋_GB2312"/>
          <w:sz w:val="32"/>
          <w:szCs w:val="32"/>
        </w:rPr>
        <w:t>⑴</w:t>
      </w:r>
      <w:r>
        <w:rPr>
          <w:rFonts w:hint="eastAsia" w:ascii="仿宋_GB2312" w:eastAsia="仿宋_GB2312"/>
          <w:sz w:val="32"/>
          <w:szCs w:val="32"/>
        </w:rPr>
        <w:fldChar w:fldCharType="end"/>
      </w:r>
      <w:r>
        <w:rPr>
          <w:rFonts w:hint="eastAsia" w:ascii="仿宋_GB2312" w:eastAsia="仿宋_GB2312"/>
          <w:sz w:val="32"/>
          <w:szCs w:val="32"/>
        </w:rPr>
        <w:t>综合管理全区社会文化</w:t>
      </w:r>
      <w:r>
        <w:rPr>
          <w:rFonts w:hint="eastAsia" w:ascii="仿宋_GB2312" w:eastAsia="仿宋_GB2312"/>
          <w:sz w:val="32"/>
          <w:szCs w:val="32"/>
          <w:lang w:eastAsia="zh-CN"/>
        </w:rPr>
        <w:t>广电</w:t>
      </w:r>
      <w:r>
        <w:rPr>
          <w:rFonts w:hint="eastAsia" w:ascii="仿宋_GB2312" w:eastAsia="仿宋_GB2312"/>
          <w:sz w:val="32"/>
          <w:szCs w:val="32"/>
        </w:rPr>
        <w:t>事业，指导社会文化、广播电影电视科技事业发展。指导全区艺术研究工作，管理群众文化事业。指导、协调全区音乐、舞蹈、戏剧、曲艺、美术、书法、摄影、文学、电影等艺术</w:t>
      </w:r>
      <w:r>
        <w:rPr>
          <w:rFonts w:hint="eastAsia" w:ascii="仿宋_GB2312" w:eastAsia="仿宋_GB2312"/>
          <w:sz w:val="32"/>
          <w:szCs w:val="32"/>
          <w:lang w:eastAsia="zh-CN"/>
        </w:rPr>
        <w:t>文化</w:t>
      </w:r>
      <w:r>
        <w:rPr>
          <w:rFonts w:hint="eastAsia" w:ascii="仿宋_GB2312" w:eastAsia="仿宋_GB2312"/>
          <w:sz w:val="32"/>
          <w:szCs w:val="32"/>
        </w:rPr>
        <w:t>，拟订文化艺术事业发展规划和扶持政策并组织实施。指导、协调全区性重大文化艺术活动。指导、协调文物保护工作。负责文物保护组织申报、研究、宣传、项目实施等相关工作。组织实施广播电影电视重大工程。组织、协调广播电视安全播出</w:t>
      </w:r>
      <w:r>
        <w:rPr>
          <w:rFonts w:hint="eastAsia" w:ascii="仿宋_GB2312" w:eastAsia="仿宋_GB2312"/>
          <w:sz w:val="32"/>
          <w:szCs w:val="32"/>
          <w:lang w:eastAsia="zh-CN"/>
        </w:rPr>
        <w:t>。</w:t>
      </w:r>
    </w:p>
    <w:p w14:paraId="503BE3EC">
      <w:pPr>
        <w:spacing w:after="0" w:line="600" w:lineRule="exact"/>
        <w:ind w:firstLine="640" w:firstLineChars="200"/>
        <w:jc w:val="both"/>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2 \* GB2 </w:instrText>
      </w:r>
      <w:r>
        <w:rPr>
          <w:rFonts w:hint="eastAsia" w:ascii="仿宋_GB2312" w:eastAsia="仿宋_GB2312"/>
          <w:sz w:val="32"/>
          <w:szCs w:val="32"/>
        </w:rPr>
        <w:fldChar w:fldCharType="separate"/>
      </w:r>
      <w:r>
        <w:rPr>
          <w:rFonts w:hint="eastAsia" w:ascii="仿宋_GB2312" w:eastAsia="仿宋_GB2312"/>
          <w:sz w:val="32"/>
          <w:szCs w:val="32"/>
        </w:rPr>
        <w:t>⑵</w:t>
      </w:r>
      <w:r>
        <w:rPr>
          <w:rFonts w:hint="eastAsia" w:ascii="仿宋_GB2312" w:eastAsia="仿宋_GB2312"/>
          <w:sz w:val="32"/>
          <w:szCs w:val="32"/>
        </w:rPr>
        <w:fldChar w:fldCharType="end"/>
      </w:r>
      <w:r>
        <w:rPr>
          <w:rFonts w:hint="eastAsia" w:ascii="仿宋_GB2312" w:eastAsia="仿宋_GB2312"/>
          <w:sz w:val="32"/>
          <w:szCs w:val="32"/>
          <w:lang w:eastAsia="zh-CN"/>
        </w:rPr>
        <w:t>指导全区</w:t>
      </w:r>
      <w:r>
        <w:rPr>
          <w:rFonts w:hint="eastAsia" w:ascii="仿宋_GB2312" w:eastAsia="仿宋_GB2312"/>
          <w:sz w:val="32"/>
          <w:szCs w:val="32"/>
        </w:rPr>
        <w:t>旅游和产业发展。拟定旅游公共服务标准并监督实施，拟订全区文广新旅产业政策和发展规划并组织实施。负责国家、省及地方旅游标准在旅游企业的宣传实施。指导全区旅游行业教育培训工作及相关行业协会工作，负责全区旅游考核工作。指导、促进文广新旅产业相关门类及新型业态发展，推动产业投融资体系建设，促进文广新旅与相关产业融合发展。配合有关部门推动文广新旅产业和服务“走出去”。参与、指导和推进重大文广新旅产业项目论证和实施。负责相关产业统计工作。</w:t>
      </w:r>
    </w:p>
    <w:p w14:paraId="12EFDEB0">
      <w:pPr>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3 \* GB2 </w:instrText>
      </w:r>
      <w:r>
        <w:rPr>
          <w:rFonts w:hint="eastAsia" w:ascii="仿宋_GB2312" w:eastAsia="仿宋_GB2312"/>
          <w:sz w:val="32"/>
          <w:szCs w:val="32"/>
        </w:rPr>
        <w:fldChar w:fldCharType="separate"/>
      </w:r>
      <w:r>
        <w:rPr>
          <w:rFonts w:hint="eastAsia" w:ascii="仿宋_GB2312" w:eastAsia="仿宋_GB2312"/>
          <w:sz w:val="32"/>
          <w:szCs w:val="32"/>
        </w:rPr>
        <w:t>⑶</w:t>
      </w:r>
      <w:r>
        <w:rPr>
          <w:rFonts w:hint="eastAsia" w:ascii="仿宋_GB2312" w:eastAsia="仿宋_GB2312"/>
          <w:sz w:val="32"/>
          <w:szCs w:val="32"/>
        </w:rPr>
        <w:fldChar w:fldCharType="end"/>
      </w:r>
      <w:r>
        <w:rPr>
          <w:rFonts w:hint="eastAsia" w:ascii="仿宋_GB2312" w:eastAsia="仿宋_GB2312"/>
          <w:sz w:val="32"/>
          <w:szCs w:val="32"/>
        </w:rPr>
        <w:t>归口管理全区文化旅游市场，拟订文广旅市场政策和发展规划并组织实施，对全区文广旅等市场经营进行行业监管。承担行业信用体系建设工作。组织拟定行业相关标准并监督实施，监管全区文广旅市场服务质量，指导服务质量提升。落实文广新市场综合执法工作标准和规范并监督实施。按照上级要求，做好文广旅市场综合执法工作。配合相关执法工作及违法违规行为查处工作。</w:t>
      </w:r>
    </w:p>
    <w:p w14:paraId="1B69EBEA">
      <w:pPr>
        <w:pStyle w:val="18"/>
        <w:bidi w:val="0"/>
        <w:rPr>
          <w:rFonts w:hint="eastAsia" w:ascii="仿宋_GB2312" w:hAnsi="仿宋_GB2312" w:eastAsia="仿宋_GB2312" w:cs="仿宋_GB2312"/>
        </w:rPr>
      </w:pPr>
      <w:r>
        <w:rPr>
          <w:rFonts w:hint="eastAsia" w:ascii="仿宋_GB2312" w:eastAsia="仿宋_GB2312"/>
          <w:sz w:val="32"/>
          <w:szCs w:val="32"/>
        </w:rPr>
        <w:t>⑷承办区委、</w:t>
      </w:r>
      <w:r>
        <w:rPr>
          <w:rFonts w:hint="eastAsia"/>
          <w:sz w:val="32"/>
          <w:szCs w:val="32"/>
          <w:lang w:eastAsia="zh-CN"/>
        </w:rPr>
        <w:t>区</w:t>
      </w:r>
      <w:r>
        <w:rPr>
          <w:rFonts w:hint="eastAsia" w:ascii="仿宋_GB2312" w:eastAsia="仿宋_GB2312"/>
          <w:sz w:val="32"/>
          <w:szCs w:val="32"/>
        </w:rPr>
        <w:t>政府交办的其它事项。</w:t>
      </w:r>
    </w:p>
    <w:p w14:paraId="5F6DAA84">
      <w:pPr>
        <w:pStyle w:val="17"/>
        <w:numPr>
          <w:ilvl w:val="0"/>
          <w:numId w:val="0"/>
        </w:numPr>
        <w:bidi w:val="0"/>
        <w:ind w:left="420" w:leftChars="200" w:firstLine="320" w:firstLineChars="100"/>
        <w:rPr>
          <w:rFonts w:hint="eastAsia"/>
        </w:rPr>
      </w:pPr>
      <w:r>
        <w:rPr>
          <w:rFonts w:hint="eastAsia"/>
        </w:rPr>
        <w:t>二、机构设置及人员情况</w:t>
      </w:r>
    </w:p>
    <w:p w14:paraId="11D64123">
      <w:pPr>
        <w:pStyle w:val="18"/>
        <w:bidi w:val="0"/>
        <w:rPr>
          <w:rFonts w:hint="eastAsia" w:ascii="仿宋_GB2312" w:hAnsi="仿宋_GB2312" w:eastAsia="仿宋_GB2312" w:cs="仿宋_GB2312"/>
        </w:rPr>
      </w:pPr>
      <w:bookmarkStart w:id="0" w:name="_GoBack"/>
      <w:bookmarkEnd w:id="0"/>
      <w:r>
        <w:rPr>
          <w:rFonts w:hint="eastAsia" w:cs="仿宋_GB2312"/>
          <w:lang w:eastAsia="zh-CN"/>
        </w:rPr>
        <w:t>新余市渝水区文化广电旅游局</w:t>
      </w:r>
      <w:r>
        <w:rPr>
          <w:rFonts w:hint="eastAsia" w:ascii="仿宋_GB2312" w:hAnsi="仿宋_GB2312" w:eastAsia="仿宋_GB2312" w:cs="仿宋_GB2312"/>
          <w:lang w:eastAsia="zh-CN"/>
        </w:rPr>
        <w:t>（部门）共有预算单位3个，包括</w:t>
      </w:r>
      <w:r>
        <w:rPr>
          <w:rFonts w:hint="eastAsia" w:cs="仿宋_GB2312"/>
          <w:lang w:eastAsia="zh-CN"/>
        </w:rPr>
        <w:t>新余市渝水区文化广电旅游局</w:t>
      </w:r>
      <w:r>
        <w:rPr>
          <w:rFonts w:hint="eastAsia" w:ascii="仿宋_GB2312" w:hAnsi="仿宋_GB2312" w:eastAsia="仿宋_GB2312" w:cs="仿宋_GB2312"/>
          <w:lang w:eastAsia="zh-CN"/>
        </w:rPr>
        <w:t>（部门）和2个所属预算单位，所属预算单位具体包括：</w:t>
      </w:r>
      <w:r>
        <w:rPr>
          <w:rFonts w:hint="eastAsia" w:ascii="仿宋_GB2312" w:hAnsi="仿宋_GB2312" w:eastAsia="仿宋_GB2312" w:cs="仿宋_GB2312"/>
        </w:rPr>
        <w:t>新余市渝水区图书馆、新余市渝水区文化馆。</w:t>
      </w:r>
      <w:r>
        <w:rPr>
          <w:rFonts w:hint="eastAsia" w:ascii="仿宋_GB2312" w:eastAsia="仿宋_GB2312"/>
          <w:sz w:val="32"/>
          <w:szCs w:val="32"/>
        </w:rPr>
        <w:t>局本级编制人数24人，其中：行政编制8人、全额补助事业编制16人；实有人数3</w:t>
      </w:r>
      <w:r>
        <w:rPr>
          <w:rFonts w:hint="eastAsia" w:ascii="仿宋_GB2312" w:eastAsia="仿宋_GB2312"/>
          <w:sz w:val="32"/>
          <w:szCs w:val="32"/>
          <w:lang w:val="en-US" w:eastAsia="zh-CN"/>
        </w:rPr>
        <w:t>8</w:t>
      </w:r>
      <w:r>
        <w:rPr>
          <w:rFonts w:hint="eastAsia" w:ascii="仿宋_GB2312" w:eastAsia="仿宋_GB2312"/>
          <w:sz w:val="32"/>
          <w:szCs w:val="32"/>
        </w:rPr>
        <w:t>人，其中：在职人数</w:t>
      </w:r>
      <w:r>
        <w:rPr>
          <w:rFonts w:hint="eastAsia" w:ascii="仿宋_GB2312" w:eastAsia="仿宋_GB2312"/>
          <w:sz w:val="32"/>
          <w:szCs w:val="32"/>
          <w:lang w:val="en-US" w:eastAsia="zh-CN"/>
        </w:rPr>
        <w:t>22</w:t>
      </w:r>
      <w:r>
        <w:rPr>
          <w:rFonts w:hint="eastAsia" w:ascii="仿宋_GB2312" w:eastAsia="仿宋_GB2312"/>
          <w:sz w:val="32"/>
          <w:szCs w:val="32"/>
        </w:rPr>
        <w:t>人，包括行政人员1</w:t>
      </w:r>
      <w:r>
        <w:rPr>
          <w:rFonts w:hint="eastAsia" w:ascii="仿宋_GB2312" w:eastAsia="仿宋_GB2312"/>
          <w:sz w:val="32"/>
          <w:szCs w:val="32"/>
          <w:lang w:val="en-US" w:eastAsia="zh-CN"/>
        </w:rPr>
        <w:t>0</w:t>
      </w:r>
      <w:r>
        <w:rPr>
          <w:rFonts w:hint="eastAsia" w:ascii="仿宋_GB2312" w:eastAsia="仿宋_GB2312"/>
          <w:sz w:val="32"/>
          <w:szCs w:val="32"/>
        </w:rPr>
        <w:t>人、全额补助事业人员12人；退休人员1</w:t>
      </w:r>
      <w:r>
        <w:rPr>
          <w:rFonts w:hint="eastAsia" w:ascii="仿宋_GB2312" w:eastAsia="仿宋_GB2312"/>
          <w:sz w:val="32"/>
          <w:szCs w:val="32"/>
          <w:lang w:val="en-US" w:eastAsia="zh-CN"/>
        </w:rPr>
        <w:t>6</w:t>
      </w:r>
      <w:r>
        <w:rPr>
          <w:rFonts w:hint="eastAsia" w:ascii="仿宋_GB2312" w:eastAsia="仿宋_GB2312"/>
          <w:sz w:val="32"/>
          <w:szCs w:val="32"/>
        </w:rPr>
        <w:t>人。文化馆编制人数5人，为全额补助事业编制；实有人数10人，其中：在职人数</w:t>
      </w:r>
      <w:r>
        <w:rPr>
          <w:rFonts w:hint="eastAsia" w:ascii="仿宋_GB2312" w:eastAsia="仿宋_GB2312"/>
          <w:sz w:val="32"/>
          <w:szCs w:val="32"/>
          <w:lang w:val="en-US" w:eastAsia="zh-CN"/>
        </w:rPr>
        <w:t>4</w:t>
      </w:r>
      <w:r>
        <w:rPr>
          <w:rFonts w:hint="eastAsia" w:ascii="仿宋_GB2312" w:eastAsia="仿宋_GB2312"/>
          <w:sz w:val="32"/>
          <w:szCs w:val="32"/>
        </w:rPr>
        <w:t>人、退休人员</w:t>
      </w:r>
      <w:r>
        <w:rPr>
          <w:rFonts w:hint="eastAsia" w:ascii="仿宋_GB2312" w:eastAsia="仿宋_GB2312"/>
          <w:sz w:val="32"/>
          <w:szCs w:val="32"/>
          <w:lang w:val="en-US" w:eastAsia="zh-CN"/>
        </w:rPr>
        <w:t>6</w:t>
      </w:r>
      <w:r>
        <w:rPr>
          <w:rFonts w:hint="eastAsia" w:ascii="仿宋_GB2312" w:eastAsia="仿宋_GB2312"/>
          <w:sz w:val="32"/>
          <w:szCs w:val="32"/>
        </w:rPr>
        <w:t>人。图书馆编制人数5人，为全额补助事业编制；实有人数7人，其中：在职人数3人、退休人员4人。</w:t>
      </w:r>
    </w:p>
    <w:p w14:paraId="0CA7ED29">
      <w:pPr>
        <w:pStyle w:val="18"/>
        <w:bidi w:val="0"/>
        <w:rPr>
          <w:rFonts w:hint="eastAsia" w:ascii="仿宋_GB2312" w:hAnsi="仿宋_GB2312" w:eastAsia="仿宋_GB2312" w:cs="仿宋_GB2312"/>
        </w:rPr>
      </w:pPr>
    </w:p>
    <w:p w14:paraId="12D8AB9B">
      <w:pPr>
        <w:widowControl/>
        <w:spacing w:line="580" w:lineRule="exact"/>
        <w:jc w:val="center"/>
        <w:rPr>
          <w:rFonts w:ascii="仿宋_GB2312" w:eastAsia="仿宋_GB2312"/>
          <w:b/>
          <w:szCs w:val="30"/>
        </w:rPr>
      </w:pPr>
    </w:p>
    <w:p w14:paraId="239F80B8">
      <w:pPr>
        <w:pStyle w:val="17"/>
        <w:numPr>
          <w:ilvl w:val="0"/>
          <w:numId w:val="0"/>
        </w:numPr>
        <w:bidi w:val="0"/>
        <w:ind w:left="420" w:leftChars="200"/>
        <w:jc w:val="center"/>
        <w:rPr>
          <w:rFonts w:hint="eastAsia"/>
          <w:lang w:eastAsia="zh-CN"/>
        </w:rPr>
      </w:pPr>
      <w:r>
        <w:rPr>
          <w:rFonts w:hint="eastAsia"/>
          <w:lang w:eastAsia="zh-CN"/>
        </w:rPr>
        <w:t>第二部分  新余市渝水区文化广电旅游局（部门）2026年部门预算表</w:t>
      </w:r>
    </w:p>
    <w:p w14:paraId="188692BA">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069DD092">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6F344F68">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5BA7E459">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61A37FAE">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704</w:t>
            </w:r>
            <w:r>
              <w:rPr>
                <w:rFonts w:hint="eastAsia" w:asciiTheme="minorEastAsia" w:hAnsiTheme="minorEastAsia" w:cstheme="minorEastAsia"/>
                <w:color w:val="000000"/>
                <w:kern w:val="0"/>
                <w:sz w:val="21"/>
                <w:szCs w:val="21"/>
                <w:lang w:eastAsia="zh-CN" w:bidi="ar"/>
              </w:rPr>
              <w:t>新余市渝水区文化广电旅游局</w:t>
            </w:r>
            <w:r>
              <w:rPr>
                <w:rFonts w:hint="eastAsia" w:asciiTheme="minorEastAsia" w:hAnsiTheme="minorEastAsia" w:eastAsiaTheme="minorEastAsia" w:cstheme="minorEastAsia"/>
                <w:color w:val="000000"/>
                <w:kern w:val="0"/>
                <w:sz w:val="21"/>
                <w:szCs w:val="21"/>
                <w:lang w:eastAsia="zh-CN" w:bidi="ar"/>
              </w:rPr>
              <w:t>（部门）</w:t>
            </w:r>
          </w:p>
        </w:tc>
        <w:tc>
          <w:tcPr>
            <w:tcW w:w="1655" w:type="pct"/>
            <w:noWrap/>
            <w:vAlign w:val="bottom"/>
          </w:tcPr>
          <w:p w14:paraId="4CEBF5AA">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3BB2EA62">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1E2BC953">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1C9FE3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4C3C77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78100E59">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6009D6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000F0F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69833B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4FEAFB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5E0FDEE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3E4E15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56AED4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736.04</w:t>
            </w:r>
          </w:p>
        </w:tc>
        <w:tc>
          <w:tcPr>
            <w:tcW w:w="1655" w:type="pct"/>
            <w:tcBorders>
              <w:top w:val="nil"/>
              <w:left w:val="nil"/>
              <w:bottom w:val="single" w:color="000000" w:sz="4" w:space="0"/>
              <w:right w:val="single" w:color="000000" w:sz="4" w:space="0"/>
            </w:tcBorders>
            <w:noWrap/>
            <w:vAlign w:val="center"/>
          </w:tcPr>
          <w:p w14:paraId="43F10D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文化旅游体育与传媒支出</w:t>
            </w:r>
          </w:p>
        </w:tc>
        <w:tc>
          <w:tcPr>
            <w:tcW w:w="829" w:type="pct"/>
            <w:tcBorders>
              <w:top w:val="nil"/>
              <w:left w:val="nil"/>
              <w:bottom w:val="single" w:color="000000" w:sz="4" w:space="0"/>
              <w:right w:val="single" w:color="000000" w:sz="4" w:space="0"/>
            </w:tcBorders>
            <w:noWrap/>
            <w:vAlign w:val="center"/>
          </w:tcPr>
          <w:p w14:paraId="362D93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882.22</w:t>
            </w:r>
          </w:p>
        </w:tc>
      </w:tr>
      <w:tr w14:paraId="7BD3E5D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7EAF7A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5ECFF4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736.04</w:t>
            </w:r>
          </w:p>
        </w:tc>
        <w:tc>
          <w:tcPr>
            <w:tcW w:w="1655" w:type="pct"/>
            <w:tcBorders>
              <w:top w:val="nil"/>
              <w:left w:val="nil"/>
              <w:bottom w:val="single" w:color="000000" w:sz="4" w:space="0"/>
              <w:right w:val="single" w:color="000000" w:sz="4" w:space="0"/>
            </w:tcBorders>
            <w:noWrap/>
            <w:vAlign w:val="center"/>
          </w:tcPr>
          <w:p w14:paraId="31F38B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3FF688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202.92</w:t>
            </w:r>
          </w:p>
        </w:tc>
      </w:tr>
      <w:tr w14:paraId="06C5EE2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ADF9E1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259D99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8A93F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6ED7D2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25.82</w:t>
            </w:r>
          </w:p>
        </w:tc>
      </w:tr>
      <w:tr w14:paraId="5DEFEBF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5AB26F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6867B8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59DC4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农林水支出</w:t>
            </w:r>
          </w:p>
        </w:tc>
        <w:tc>
          <w:tcPr>
            <w:tcW w:w="829" w:type="pct"/>
            <w:tcBorders>
              <w:top w:val="nil"/>
              <w:left w:val="nil"/>
              <w:bottom w:val="single" w:color="000000" w:sz="4" w:space="0"/>
              <w:right w:val="single" w:color="000000" w:sz="4" w:space="0"/>
            </w:tcBorders>
            <w:noWrap/>
            <w:vAlign w:val="center"/>
          </w:tcPr>
          <w:p w14:paraId="7429F0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3.00</w:t>
            </w:r>
          </w:p>
        </w:tc>
      </w:tr>
      <w:tr w14:paraId="48EB9B8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A217EC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30DC6F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CE47C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602CEA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27.68</w:t>
            </w:r>
          </w:p>
        </w:tc>
      </w:tr>
      <w:tr w14:paraId="00BAA03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5C3995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19C25C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B410B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其他支出</w:t>
            </w:r>
          </w:p>
        </w:tc>
        <w:tc>
          <w:tcPr>
            <w:tcW w:w="829" w:type="pct"/>
            <w:tcBorders>
              <w:top w:val="nil"/>
              <w:left w:val="nil"/>
              <w:bottom w:val="single" w:color="000000" w:sz="4" w:space="0"/>
              <w:right w:val="single" w:color="000000" w:sz="4" w:space="0"/>
            </w:tcBorders>
            <w:noWrap/>
            <w:vAlign w:val="center"/>
          </w:tcPr>
          <w:p w14:paraId="119BE0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342.88</w:t>
            </w:r>
          </w:p>
        </w:tc>
      </w:tr>
      <w:tr w14:paraId="3940C67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6E4F79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7F8BB7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CC0FB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F578F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62F63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153D4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02CDAD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F0A5D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C273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2CBE15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32EB4A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0909BB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DC199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92B05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D9E60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2C5DF7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291340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EEBDE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076F9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3B7EA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2640D9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E7091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D6116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67327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79616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77D7E3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9A79D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91657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7EF93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E6140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4E41E3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6CEE6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0422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84252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DED84D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D7A11E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0C6B1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1F63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676DB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083B3B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8177C7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B697B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AAAE1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79AB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DB31B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10C01B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B0BC6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15499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E508E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1B022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A74A70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7B505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AC7BD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575C1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C8244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078479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C625C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5C65A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5E6E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3F00D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F4DDA0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152AB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21BED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5CDAF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901E3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FDCD31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C347E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E8FFF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484F2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FE254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355FAA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0DB0F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ACD9D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AA42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A060B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847D23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AC0A5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A8C3A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ADC5D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957816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E69713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6AAFE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F9E13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86988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F4FED9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48A4D4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7DF54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F745B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9F08D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B56E52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5B6B65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2447D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D0833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19179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12A907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BF3EF2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65770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056C9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4A030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670B3C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564D7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2407E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9ED57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B5D1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6C270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87C08E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948B6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D5972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0836D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D244B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612A0B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B9AE8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11D7F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44F5A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045298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120555D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6D3C67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736.04</w:t>
            </w:r>
          </w:p>
        </w:tc>
        <w:tc>
          <w:tcPr>
            <w:tcW w:w="1655" w:type="pct"/>
            <w:tcBorders>
              <w:top w:val="nil"/>
              <w:left w:val="nil"/>
              <w:bottom w:val="single" w:color="auto" w:sz="4" w:space="0"/>
              <w:right w:val="single" w:color="000000" w:sz="4" w:space="0"/>
            </w:tcBorders>
            <w:noWrap/>
            <w:vAlign w:val="center"/>
          </w:tcPr>
          <w:p w14:paraId="6D7CABD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3E14C3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1,484.52</w:t>
            </w:r>
          </w:p>
        </w:tc>
      </w:tr>
      <w:tr w14:paraId="687B840F">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BE1E30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704AF8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239D49B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043459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68DBC625">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6696A48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1B903E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748.48</w:t>
            </w:r>
          </w:p>
        </w:tc>
        <w:tc>
          <w:tcPr>
            <w:tcW w:w="1655" w:type="pct"/>
            <w:tcBorders>
              <w:top w:val="single" w:color="auto" w:sz="4" w:space="0"/>
              <w:left w:val="nil"/>
              <w:bottom w:val="single" w:color="auto" w:sz="4" w:space="0"/>
              <w:right w:val="single" w:color="000000" w:sz="4" w:space="0"/>
            </w:tcBorders>
            <w:noWrap/>
            <w:vAlign w:val="bottom"/>
          </w:tcPr>
          <w:p w14:paraId="61A8EE0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14243A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1125A7">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C7EF9E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16B566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1,484.52</w:t>
            </w:r>
          </w:p>
        </w:tc>
        <w:tc>
          <w:tcPr>
            <w:tcW w:w="1655" w:type="pct"/>
            <w:tcBorders>
              <w:top w:val="single" w:color="auto" w:sz="4" w:space="0"/>
              <w:left w:val="single" w:color="auto" w:sz="4" w:space="0"/>
              <w:bottom w:val="single" w:color="auto" w:sz="4" w:space="0"/>
              <w:right w:val="single" w:color="auto" w:sz="4" w:space="0"/>
            </w:tcBorders>
            <w:noWrap/>
            <w:vAlign w:val="center"/>
          </w:tcPr>
          <w:p w14:paraId="4850007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6C32F1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1,484.52</w:t>
            </w:r>
          </w:p>
        </w:tc>
      </w:tr>
    </w:tbl>
    <w:p w14:paraId="65406088">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749E56D3">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2515A1A5">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536AE8DE">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11145DD9">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填报单位:704新余市渝水区文化广电旅游局（部门）</w:t>
            </w:r>
          </w:p>
        </w:tc>
        <w:tc>
          <w:tcPr>
            <w:tcW w:w="422" w:type="pct"/>
            <w:tcBorders>
              <w:top w:val="nil"/>
              <w:left w:val="nil"/>
              <w:bottom w:val="single" w:color="auto" w:sz="4" w:space="0"/>
              <w:right w:val="nil"/>
            </w:tcBorders>
            <w:shd w:val="clear" w:color="auto" w:fill="auto"/>
            <w:noWrap/>
            <w:vAlign w:val="bottom"/>
          </w:tcPr>
          <w:p w14:paraId="1DC70569">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3036AC26">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26F1768C">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09163972">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70B74737">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5EA5FE7F">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031C5F4D">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6BEC29E1">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3895E5D3">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2DC65A83">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14F0E034">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5AC25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FF4AD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D24CEC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E2A0F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0B2C8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B6F7B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D13B2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F99E8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61A93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4685D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5A73A4A8">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2FD67CA8">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2BA22634">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6C8FE7E1">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4E829BC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11E7F57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3E4A8FA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6799F18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002FF20B">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2EFE475D">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1B62A2AC">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17CFBFF7">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4A3275B9">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695705B6">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106A506E">
            <w:pPr>
              <w:widowControl/>
              <w:jc w:val="left"/>
              <w:rPr>
                <w:rFonts w:ascii="宋体" w:hAnsi="宋体" w:eastAsia="宋体" w:cs="Arial"/>
                <w:color w:val="000000"/>
                <w:kern w:val="0"/>
                <w:sz w:val="13"/>
                <w:szCs w:val="13"/>
              </w:rPr>
            </w:pPr>
          </w:p>
        </w:tc>
      </w:tr>
      <w:tr w14:paraId="4661AE7F">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05E8F0">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63226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4DC62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6BB1E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F5313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C9D4E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1E56B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7EFD7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5A94C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FA877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A1EB78">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150271">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A43880">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F9F37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46C10EEB">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B03C63">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CD3AA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1,484.52</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24B6B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748.48</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719C7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736.04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F8767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736.04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10DF7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069EF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1C02E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B8AC3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19150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59BA3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DC6CB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BE107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340275D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4C005819">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193135">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新余市渝水区文化广电旅游局</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FF734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923.84</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88D1E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382.01</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AC768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541.82</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75B53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541.82</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CA304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946A5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36856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52EEB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0183E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B6A54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44011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DA9A1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5A4E20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2241900D">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5A280F">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新余市渝水区图书馆</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1CB31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439.23</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4FA4F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351.04</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D3E26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88.18</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4DA27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88.18</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6400E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0C348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A4086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2E0DA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EFAE7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518F5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CAACD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5FB44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0B0CC1E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4FB9C92A">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EC145C">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新余市渝水区文化馆</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128AA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121.46</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B131D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15.42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06DA1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106.03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61F4D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106.03</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F9AE0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14542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98DE2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E3BEA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EAA79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4D7D7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A80AC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B9111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56FF700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0C08AB2A">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24D91297">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40E0AEAB">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4B906F06">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1CC921E7">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704新余市渝水区文化广电旅游局（部门）</w:t>
            </w:r>
          </w:p>
        </w:tc>
        <w:tc>
          <w:tcPr>
            <w:tcW w:w="914" w:type="pct"/>
            <w:tcBorders>
              <w:top w:val="nil"/>
              <w:left w:val="nil"/>
              <w:bottom w:val="nil"/>
              <w:right w:val="nil"/>
            </w:tcBorders>
            <w:shd w:val="clear" w:color="auto" w:fill="auto"/>
            <w:noWrap/>
            <w:vAlign w:val="bottom"/>
          </w:tcPr>
          <w:p w14:paraId="2F53C29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5E7225F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40F4A17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03BEE40">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0A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4EAD1A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52D67C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6F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B0AC643">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70AD21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033DC3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64CD689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4841AE2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5EF02FCD">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0DAAE0E7">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5BA7CC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36692D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686BE8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440BD51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4086035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1CD909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9A2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876E0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8B7B2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1,484.52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23FB8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704.04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E9061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780.48</w:t>
            </w:r>
          </w:p>
        </w:tc>
      </w:tr>
      <w:tr w14:paraId="3CC69E7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0D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49A00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BF4B7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882.22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5A111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447.62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7B29D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434.60</w:t>
            </w:r>
          </w:p>
        </w:tc>
      </w:tr>
      <w:tr w14:paraId="6F064ED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8D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CE3FC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文化和旅游</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01A91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526.35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D3099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447.62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5EFB2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78.73</w:t>
            </w:r>
          </w:p>
        </w:tc>
      </w:tr>
      <w:tr w14:paraId="2203DF0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42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FC20F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74DF4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345.29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F3EE5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345.29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F64C4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EE7138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76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2070104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BBB92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图书馆</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3F344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57.88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4B8D6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42.88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D0D0B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15.00</w:t>
            </w:r>
          </w:p>
        </w:tc>
      </w:tr>
      <w:tr w14:paraId="4116CB7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66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2070109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A0D99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群众文化</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AA77E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61.45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3B718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59.45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14C8F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w:t>
            </w:r>
          </w:p>
        </w:tc>
      </w:tr>
      <w:tr w14:paraId="2BABEAA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2B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2070112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5195F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文化和旅游市场管理</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76D96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4FFAE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E4790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15.00</w:t>
            </w:r>
          </w:p>
        </w:tc>
      </w:tr>
      <w:tr w14:paraId="37283DB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10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2070113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2B14F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旅游宣传</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971E8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23.14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BC105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399FE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23.14</w:t>
            </w:r>
          </w:p>
        </w:tc>
      </w:tr>
      <w:tr w14:paraId="4C2FF49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E2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7341F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其他文化和旅游支出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DD468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23.59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88292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B92D1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23.59</w:t>
            </w:r>
          </w:p>
        </w:tc>
      </w:tr>
      <w:tr w14:paraId="4C90758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18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B54C6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4B17F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EBE65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7D35F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139.00</w:t>
            </w:r>
          </w:p>
        </w:tc>
      </w:tr>
      <w:tr w14:paraId="38B5387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F5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2070204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722B6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文物保护</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14D9C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139.00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6AB02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221F8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139.00</w:t>
            </w:r>
          </w:p>
        </w:tc>
      </w:tr>
      <w:tr w14:paraId="32CE082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2B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B0385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0EFAC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216.87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FBAFD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E85FE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216.87</w:t>
            </w:r>
          </w:p>
        </w:tc>
      </w:tr>
      <w:tr w14:paraId="5121196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86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B1940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CDC23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216.87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B7DE4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2FEF9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216.87</w:t>
            </w:r>
          </w:p>
        </w:tc>
      </w:tr>
      <w:tr w14:paraId="1BB373C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20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EC009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40156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202.92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8BB42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202.92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E1EB9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7DE0A0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76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9EFD2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409F3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202.92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F9D80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202.92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E2245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A06331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5A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951A4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行政单位离退休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781BF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1B64A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70.50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7CC24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763D4F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1B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40412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事业单位离退休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02E9D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41.31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BDA00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41.31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CD40C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2947A8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FB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28D71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E0F63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60.74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79C91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60.74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16A88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89C9BE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52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B3074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2CA88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0A423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C7573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B175CE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05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35A6C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9D04C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25.82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C4E70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25.82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43240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B1079F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46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17441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8084A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25.82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449EE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25.82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335F9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73FD5C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CC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A9E1C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8648E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19.83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2D78B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19.83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22D23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C8CC0F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33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83523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8A003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5.98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49CB1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5.98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33459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56E29A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59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5995D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69340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AAF99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BF289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4009C5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56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4D300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农林水支出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26D4D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1DFC9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0B6F4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w:t>
            </w:r>
          </w:p>
        </w:tc>
      </w:tr>
      <w:tr w14:paraId="03B044C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5C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C0C8D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巩固脱贫攻坚成果衔接乡村振兴</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1E795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0885F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99D79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w:t>
            </w:r>
          </w:p>
        </w:tc>
      </w:tr>
      <w:tr w14:paraId="17641A9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9F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2130599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7138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其他巩固脱贫攻坚成果衔接乡村振兴支出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F0A07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FD6B4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A6B46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w:t>
            </w:r>
          </w:p>
        </w:tc>
      </w:tr>
      <w:tr w14:paraId="772E166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95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05217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9A9C6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27.68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8774C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27.68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A4B57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743757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55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C8096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A2FDA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27.68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F4CA4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27.68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E4EA5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919862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7B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B0287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DC697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27.68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6C552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27.68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27938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9A9FC1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28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DCC69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697D2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342.88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A55C5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89B18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342.88</w:t>
            </w:r>
          </w:p>
        </w:tc>
      </w:tr>
      <w:tr w14:paraId="167F4D3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AF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22960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6D705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彩票公益金安排的支出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7FCA8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342.88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A045C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D9894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342.88</w:t>
            </w:r>
          </w:p>
        </w:tc>
      </w:tr>
      <w:tr w14:paraId="178C614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80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2296010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FD1FC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用于文化事业的彩票公益金支出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3C751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342.88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78E68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C42DF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342.88</w:t>
            </w:r>
          </w:p>
        </w:tc>
      </w:tr>
    </w:tbl>
    <w:p w14:paraId="19F2BB5D">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3192ECED">
        <w:tblPrEx>
          <w:tblCellMar>
            <w:top w:w="0" w:type="dxa"/>
            <w:left w:w="108" w:type="dxa"/>
            <w:bottom w:w="0" w:type="dxa"/>
            <w:right w:w="108" w:type="dxa"/>
          </w:tblCellMar>
        </w:tblPrEx>
        <w:trPr>
          <w:trHeight w:val="585" w:hRule="atLeast"/>
          <w:tblHeader/>
        </w:trPr>
        <w:tc>
          <w:tcPr>
            <w:tcW w:w="5000" w:type="pct"/>
            <w:gridSpan w:val="7"/>
            <w:noWrap/>
            <w:vAlign w:val="center"/>
          </w:tcPr>
          <w:p w14:paraId="5E2A815D">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438CAAFF">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02D76821">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填报单位:704</w:t>
            </w:r>
            <w:r>
              <w:rPr>
                <w:rFonts w:hint="eastAsia" w:asciiTheme="minorEastAsia" w:hAnsiTheme="minorEastAsia" w:cstheme="minorEastAsia"/>
                <w:color w:val="000000"/>
                <w:kern w:val="0"/>
                <w:sz w:val="21"/>
                <w:szCs w:val="21"/>
                <w:lang w:eastAsia="zh-CN" w:bidi="ar"/>
              </w:rPr>
              <w:t>新余市渝水区文化广电旅游局</w:t>
            </w:r>
            <w:r>
              <w:rPr>
                <w:rFonts w:hint="eastAsia" w:asciiTheme="minorEastAsia" w:hAnsiTheme="minorEastAsia" w:cstheme="minorEastAsia"/>
                <w:color w:val="000000"/>
                <w:kern w:val="0"/>
                <w:sz w:val="21"/>
                <w:szCs w:val="21"/>
                <w:lang w:bidi="ar"/>
              </w:rPr>
              <w:t>（部门）</w:t>
            </w:r>
          </w:p>
        </w:tc>
        <w:tc>
          <w:tcPr>
            <w:tcW w:w="577" w:type="pct"/>
            <w:noWrap/>
            <w:vAlign w:val="bottom"/>
          </w:tcPr>
          <w:p w14:paraId="35C2B6B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7B7B53F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75BF9D7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5EB1C18B">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1FBE978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237A455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3412E3E3">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20B9C8E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71C0C26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6890F30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2A8F6F4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46A692E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0D33179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670806C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5C24FF9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F5E24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7A59FB0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736.04</w:t>
            </w:r>
          </w:p>
        </w:tc>
        <w:tc>
          <w:tcPr>
            <w:tcW w:w="948" w:type="pct"/>
            <w:tcBorders>
              <w:top w:val="nil"/>
              <w:left w:val="nil"/>
              <w:bottom w:val="single" w:color="000000" w:sz="4" w:space="0"/>
              <w:right w:val="single" w:color="000000" w:sz="4" w:space="0"/>
            </w:tcBorders>
            <w:noWrap/>
            <w:vAlign w:val="center"/>
          </w:tcPr>
          <w:p w14:paraId="458B65C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文化旅游体育与传媒支出</w:t>
            </w:r>
          </w:p>
        </w:tc>
        <w:tc>
          <w:tcPr>
            <w:tcW w:w="577" w:type="pct"/>
            <w:tcBorders>
              <w:top w:val="nil"/>
              <w:left w:val="nil"/>
              <w:bottom w:val="single" w:color="000000" w:sz="4" w:space="0"/>
              <w:right w:val="single" w:color="000000" w:sz="4" w:space="0"/>
            </w:tcBorders>
            <w:noWrap/>
            <w:vAlign w:val="center"/>
          </w:tcPr>
          <w:p w14:paraId="74EA09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882.22</w:t>
            </w:r>
          </w:p>
        </w:tc>
        <w:tc>
          <w:tcPr>
            <w:tcW w:w="612" w:type="pct"/>
            <w:tcBorders>
              <w:top w:val="nil"/>
              <w:left w:val="nil"/>
              <w:bottom w:val="single" w:color="000000" w:sz="4" w:space="0"/>
              <w:right w:val="single" w:color="000000" w:sz="4" w:space="0"/>
            </w:tcBorders>
            <w:noWrap/>
            <w:vAlign w:val="center"/>
          </w:tcPr>
          <w:p w14:paraId="2F3FDDA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882.22</w:t>
            </w:r>
          </w:p>
        </w:tc>
        <w:tc>
          <w:tcPr>
            <w:tcW w:w="602" w:type="pct"/>
            <w:tcBorders>
              <w:top w:val="nil"/>
              <w:left w:val="nil"/>
              <w:bottom w:val="single" w:color="000000" w:sz="4" w:space="0"/>
              <w:right w:val="single" w:color="000000" w:sz="4" w:space="0"/>
            </w:tcBorders>
            <w:noWrap/>
            <w:vAlign w:val="center"/>
          </w:tcPr>
          <w:p w14:paraId="26421D0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4903CB1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5C8DB90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D511D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06A37A8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736.04</w:t>
            </w:r>
          </w:p>
        </w:tc>
        <w:tc>
          <w:tcPr>
            <w:tcW w:w="948" w:type="pct"/>
            <w:tcBorders>
              <w:top w:val="nil"/>
              <w:left w:val="single" w:color="000000" w:sz="4" w:space="0"/>
              <w:bottom w:val="single" w:color="000000" w:sz="4" w:space="0"/>
              <w:right w:val="single" w:color="000000" w:sz="4" w:space="0"/>
            </w:tcBorders>
            <w:noWrap/>
            <w:vAlign w:val="center"/>
          </w:tcPr>
          <w:p w14:paraId="187DA0B6">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6B6CDC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202.92</w:t>
            </w:r>
          </w:p>
        </w:tc>
        <w:tc>
          <w:tcPr>
            <w:tcW w:w="612" w:type="pct"/>
            <w:tcBorders>
              <w:top w:val="nil"/>
              <w:left w:val="nil"/>
              <w:bottom w:val="single" w:color="000000" w:sz="4" w:space="0"/>
              <w:right w:val="single" w:color="000000" w:sz="4" w:space="0"/>
            </w:tcBorders>
            <w:noWrap/>
            <w:vAlign w:val="center"/>
          </w:tcPr>
          <w:p w14:paraId="1FE704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202.92</w:t>
            </w:r>
          </w:p>
        </w:tc>
        <w:tc>
          <w:tcPr>
            <w:tcW w:w="602" w:type="pct"/>
            <w:tcBorders>
              <w:top w:val="nil"/>
              <w:left w:val="nil"/>
              <w:bottom w:val="single" w:color="000000" w:sz="4" w:space="0"/>
              <w:right w:val="single" w:color="000000" w:sz="4" w:space="0"/>
            </w:tcBorders>
            <w:noWrap/>
            <w:vAlign w:val="center"/>
          </w:tcPr>
          <w:p w14:paraId="10A0BF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EEB97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B1FDE0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126AB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542CD8F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32DFDC2F">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61C6AD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25.82</w:t>
            </w:r>
          </w:p>
        </w:tc>
        <w:tc>
          <w:tcPr>
            <w:tcW w:w="612" w:type="pct"/>
            <w:tcBorders>
              <w:top w:val="nil"/>
              <w:left w:val="nil"/>
              <w:bottom w:val="single" w:color="000000" w:sz="4" w:space="0"/>
              <w:right w:val="single" w:color="000000" w:sz="4" w:space="0"/>
            </w:tcBorders>
            <w:noWrap/>
            <w:vAlign w:val="center"/>
          </w:tcPr>
          <w:p w14:paraId="0A8C46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25.82</w:t>
            </w:r>
          </w:p>
        </w:tc>
        <w:tc>
          <w:tcPr>
            <w:tcW w:w="602" w:type="pct"/>
            <w:tcBorders>
              <w:top w:val="nil"/>
              <w:left w:val="nil"/>
              <w:bottom w:val="single" w:color="000000" w:sz="4" w:space="0"/>
              <w:right w:val="single" w:color="000000" w:sz="4" w:space="0"/>
            </w:tcBorders>
            <w:noWrap/>
            <w:vAlign w:val="center"/>
          </w:tcPr>
          <w:p w14:paraId="507367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F6BD6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4B7379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22635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3D70EEB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1170C686">
            <w:pPr>
              <w:widowControl/>
              <w:snapToGrid w:val="0"/>
              <w:jc w:val="center"/>
              <w:textAlignment w:val="center"/>
              <w:rPr>
                <w:rFonts w:hint="eastAsia" w:asciiTheme="minorEastAsia" w:hAnsiTheme="minorEastAsia" w:cstheme="minorEastAsia"/>
                <w:color w:val="000000"/>
                <w:kern w:val="0"/>
                <w:sz w:val="21"/>
                <w:szCs w:val="21"/>
                <w:lang w:bidi="ar"/>
              </w:rPr>
            </w:pPr>
            <w:r>
              <w:t>农林水支出</w:t>
            </w:r>
          </w:p>
        </w:tc>
        <w:tc>
          <w:tcPr>
            <w:tcW w:w="577" w:type="pct"/>
            <w:tcBorders>
              <w:top w:val="nil"/>
              <w:left w:val="nil"/>
              <w:bottom w:val="single" w:color="000000" w:sz="4" w:space="0"/>
              <w:right w:val="single" w:color="000000" w:sz="4" w:space="0"/>
            </w:tcBorders>
            <w:noWrap/>
            <w:vAlign w:val="center"/>
          </w:tcPr>
          <w:p w14:paraId="78566F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3.00</w:t>
            </w:r>
          </w:p>
        </w:tc>
        <w:tc>
          <w:tcPr>
            <w:tcW w:w="612" w:type="pct"/>
            <w:tcBorders>
              <w:top w:val="nil"/>
              <w:left w:val="nil"/>
              <w:bottom w:val="single" w:color="000000" w:sz="4" w:space="0"/>
              <w:right w:val="single" w:color="000000" w:sz="4" w:space="0"/>
            </w:tcBorders>
            <w:noWrap/>
            <w:vAlign w:val="center"/>
          </w:tcPr>
          <w:p w14:paraId="07FEF4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3.00</w:t>
            </w:r>
          </w:p>
        </w:tc>
        <w:tc>
          <w:tcPr>
            <w:tcW w:w="602" w:type="pct"/>
            <w:tcBorders>
              <w:top w:val="nil"/>
              <w:left w:val="nil"/>
              <w:bottom w:val="single" w:color="000000" w:sz="4" w:space="0"/>
              <w:right w:val="single" w:color="000000" w:sz="4" w:space="0"/>
            </w:tcBorders>
            <w:noWrap/>
            <w:vAlign w:val="center"/>
          </w:tcPr>
          <w:p w14:paraId="71C740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98679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AE0C48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E333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C5109D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436FF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3D2EC5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27.68</w:t>
            </w:r>
          </w:p>
        </w:tc>
        <w:tc>
          <w:tcPr>
            <w:tcW w:w="612" w:type="pct"/>
            <w:tcBorders>
              <w:top w:val="nil"/>
              <w:left w:val="nil"/>
              <w:bottom w:val="single" w:color="000000" w:sz="4" w:space="0"/>
              <w:right w:val="single" w:color="000000" w:sz="4" w:space="0"/>
            </w:tcBorders>
            <w:noWrap/>
            <w:vAlign w:val="center"/>
          </w:tcPr>
          <w:p w14:paraId="4A0FC5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27.68</w:t>
            </w:r>
          </w:p>
        </w:tc>
        <w:tc>
          <w:tcPr>
            <w:tcW w:w="602" w:type="pct"/>
            <w:tcBorders>
              <w:top w:val="nil"/>
              <w:left w:val="nil"/>
              <w:bottom w:val="single" w:color="000000" w:sz="4" w:space="0"/>
              <w:right w:val="single" w:color="000000" w:sz="4" w:space="0"/>
            </w:tcBorders>
            <w:noWrap/>
            <w:vAlign w:val="center"/>
          </w:tcPr>
          <w:p w14:paraId="275E86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D6373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56D4C3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8A54B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11D8A2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4183C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其他支出</w:t>
            </w:r>
          </w:p>
        </w:tc>
        <w:tc>
          <w:tcPr>
            <w:tcW w:w="577" w:type="pct"/>
            <w:tcBorders>
              <w:top w:val="nil"/>
              <w:left w:val="nil"/>
              <w:bottom w:val="single" w:color="000000" w:sz="4" w:space="0"/>
              <w:right w:val="single" w:color="000000" w:sz="4" w:space="0"/>
            </w:tcBorders>
            <w:noWrap/>
            <w:vAlign w:val="center"/>
          </w:tcPr>
          <w:p w14:paraId="2389C5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342.88</w:t>
            </w:r>
          </w:p>
        </w:tc>
        <w:tc>
          <w:tcPr>
            <w:tcW w:w="612" w:type="pct"/>
            <w:tcBorders>
              <w:top w:val="nil"/>
              <w:left w:val="nil"/>
              <w:bottom w:val="single" w:color="000000" w:sz="4" w:space="0"/>
              <w:right w:val="single" w:color="000000" w:sz="4" w:space="0"/>
            </w:tcBorders>
            <w:noWrap/>
            <w:vAlign w:val="center"/>
          </w:tcPr>
          <w:p w14:paraId="780C47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02" w:type="pct"/>
            <w:tcBorders>
              <w:top w:val="nil"/>
              <w:left w:val="nil"/>
              <w:bottom w:val="single" w:color="000000" w:sz="4" w:space="0"/>
              <w:right w:val="single" w:color="000000" w:sz="4" w:space="0"/>
            </w:tcBorders>
            <w:noWrap/>
            <w:vAlign w:val="center"/>
          </w:tcPr>
          <w:p w14:paraId="70DCBB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342.88</w:t>
            </w:r>
          </w:p>
        </w:tc>
        <w:tc>
          <w:tcPr>
            <w:tcW w:w="632" w:type="pct"/>
            <w:tcBorders>
              <w:top w:val="nil"/>
              <w:left w:val="nil"/>
              <w:bottom w:val="single" w:color="000000" w:sz="4" w:space="0"/>
              <w:right w:val="single" w:color="000000" w:sz="4" w:space="0"/>
            </w:tcBorders>
            <w:noWrap/>
            <w:vAlign w:val="center"/>
          </w:tcPr>
          <w:p w14:paraId="093949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218718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8629E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3FF21C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F894C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90C11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49863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E4418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F6C35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4EE022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2AB8A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0AC8B7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47C2F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9AED4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273E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68B3B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4FD9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BA0097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70D3F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9054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E3E27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6AB2D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E1E6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F30B4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CEFF6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8E1D9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536817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DBD5A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4B7FC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541BE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1C3B5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50ECB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31F4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5ED7F1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FBF5C9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B183F4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27DF2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ADAAF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EC7B9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03BD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7256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AD0937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3CD67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03996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040FA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C2C60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8F63A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F63D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9A240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249541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768AE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81BC71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62801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7190E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46F8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FE65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1378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7381CF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46E67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115C3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150A3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07B8B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133FD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957A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3512F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B0912B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A3E55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AAC84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0DA4A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550E6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67212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2A9B7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75E8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6BB960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FD222F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5C061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320E7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EA553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551C3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1792C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C81F4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362AE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04749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A370E6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32BED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DE381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55F2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C3055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87E08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A524E7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BE90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7EC6E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88097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EA8BA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CE2B8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2C92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C7C05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5FCB8D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4D1C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C4AFB9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6D7C6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76665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9CDE9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F4BD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CC4C6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352A12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5149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BE520D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671AB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8D344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4CC5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DBE08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C7242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61AF62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B3C7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AB1EA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25219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DBC01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8EBA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1460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0777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D3C60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FCFFC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CE2BA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A229F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1A836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F5599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A437D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7A0B5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987718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7AFA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FB635B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3540B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F2C2E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B2823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669EB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D1349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D62185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6EE5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18523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D5F63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82B4C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9A37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F862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B85D2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CEB1A9E">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465F492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79CF75B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14AF4C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EC6C5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1EB74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5656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E4BA0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6DA96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91180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A103F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9E3111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68AF7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46E66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CABB9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9BCD7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E325B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BF99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0CD393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F32388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F8C36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4126C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E97C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9BD8B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9BFF4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85F59D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44D79B5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515F8E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F27B6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128EF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C5AD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DE6AC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36D75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38F55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D275F2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52584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1A5FC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4BF2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6AB38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4A27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2B19B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9F967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3E9566D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748.48　</w:t>
            </w:r>
          </w:p>
        </w:tc>
        <w:tc>
          <w:tcPr>
            <w:tcW w:w="948" w:type="pct"/>
            <w:tcBorders>
              <w:top w:val="nil"/>
              <w:left w:val="nil"/>
              <w:bottom w:val="single" w:color="auto" w:sz="4" w:space="0"/>
              <w:right w:val="single" w:color="000000" w:sz="4" w:space="0"/>
            </w:tcBorders>
            <w:noWrap/>
            <w:vAlign w:val="center"/>
          </w:tcPr>
          <w:p w14:paraId="1D3EC063">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016E83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5B5DD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6FB23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B130525">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6F2D69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2B441F12">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52710CF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405.60　</w:t>
            </w:r>
          </w:p>
        </w:tc>
        <w:tc>
          <w:tcPr>
            <w:tcW w:w="948" w:type="pct"/>
            <w:tcBorders>
              <w:top w:val="single" w:color="auto" w:sz="4" w:space="0"/>
              <w:left w:val="single" w:color="auto" w:sz="4" w:space="0"/>
              <w:bottom w:val="single" w:color="auto" w:sz="4" w:space="0"/>
              <w:right w:val="single" w:color="auto" w:sz="4" w:space="0"/>
            </w:tcBorders>
            <w:noWrap/>
            <w:vAlign w:val="center"/>
          </w:tcPr>
          <w:p w14:paraId="6B1AD7D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4FA9BB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6C4BFF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52538F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3BB6E1F0">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1E72943">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9D2086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7B6442D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342.88</w:t>
            </w:r>
          </w:p>
        </w:tc>
        <w:tc>
          <w:tcPr>
            <w:tcW w:w="948" w:type="pct"/>
            <w:tcBorders>
              <w:top w:val="single" w:color="auto" w:sz="4" w:space="0"/>
              <w:left w:val="single" w:color="auto" w:sz="4" w:space="0"/>
              <w:bottom w:val="single" w:color="auto" w:sz="4" w:space="0"/>
              <w:right w:val="single" w:color="auto" w:sz="4" w:space="0"/>
            </w:tcBorders>
            <w:noWrap/>
            <w:vAlign w:val="center"/>
          </w:tcPr>
          <w:p w14:paraId="0FB6813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7E9A28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1057B0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35E415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76D40574">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204F429">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A5FCED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5643019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1,484.52</w:t>
            </w:r>
          </w:p>
        </w:tc>
        <w:tc>
          <w:tcPr>
            <w:tcW w:w="948" w:type="pct"/>
            <w:tcBorders>
              <w:top w:val="single" w:color="auto" w:sz="4" w:space="0"/>
              <w:left w:val="single" w:color="auto" w:sz="4" w:space="0"/>
              <w:bottom w:val="single" w:color="auto" w:sz="4" w:space="0"/>
              <w:right w:val="single" w:color="auto" w:sz="4" w:space="0"/>
            </w:tcBorders>
            <w:noWrap/>
            <w:vAlign w:val="center"/>
          </w:tcPr>
          <w:p w14:paraId="5834161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18D9FD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1,484.52</w:t>
            </w:r>
          </w:p>
        </w:tc>
        <w:tc>
          <w:tcPr>
            <w:tcW w:w="612" w:type="pct"/>
            <w:tcBorders>
              <w:top w:val="single" w:color="auto" w:sz="4" w:space="0"/>
              <w:left w:val="single" w:color="auto" w:sz="4" w:space="0"/>
              <w:bottom w:val="single" w:color="auto" w:sz="4" w:space="0"/>
              <w:right w:val="single" w:color="auto" w:sz="4" w:space="0"/>
            </w:tcBorders>
            <w:noWrap/>
            <w:vAlign w:val="center"/>
          </w:tcPr>
          <w:p w14:paraId="183731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1,141.64</w:t>
            </w:r>
          </w:p>
        </w:tc>
        <w:tc>
          <w:tcPr>
            <w:tcW w:w="602" w:type="pct"/>
            <w:tcBorders>
              <w:top w:val="single" w:color="auto" w:sz="4" w:space="0"/>
              <w:left w:val="single" w:color="auto" w:sz="4" w:space="0"/>
              <w:bottom w:val="single" w:color="auto" w:sz="4" w:space="0"/>
              <w:right w:val="single" w:color="auto" w:sz="4" w:space="0"/>
            </w:tcBorders>
            <w:noWrap/>
            <w:vAlign w:val="center"/>
          </w:tcPr>
          <w:p w14:paraId="581AAF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342.88</w:t>
            </w:r>
          </w:p>
        </w:tc>
        <w:tc>
          <w:tcPr>
            <w:tcW w:w="632" w:type="pct"/>
            <w:tcBorders>
              <w:top w:val="single" w:color="auto" w:sz="4" w:space="0"/>
              <w:left w:val="single" w:color="auto" w:sz="4" w:space="0"/>
              <w:bottom w:val="single" w:color="auto" w:sz="4" w:space="0"/>
              <w:right w:val="single" w:color="auto" w:sz="4" w:space="0"/>
            </w:tcBorders>
            <w:noWrap/>
            <w:vAlign w:val="center"/>
          </w:tcPr>
          <w:p w14:paraId="0A9CE2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23290C4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0D1329D0">
        <w:tblPrEx>
          <w:tblCellMar>
            <w:top w:w="0" w:type="dxa"/>
            <w:left w:w="108" w:type="dxa"/>
            <w:bottom w:w="0" w:type="dxa"/>
            <w:right w:w="108" w:type="dxa"/>
          </w:tblCellMar>
        </w:tblPrEx>
        <w:trPr>
          <w:trHeight w:val="585" w:hRule="atLeast"/>
          <w:tblHeader/>
        </w:trPr>
        <w:tc>
          <w:tcPr>
            <w:tcW w:w="5000" w:type="pct"/>
            <w:gridSpan w:val="5"/>
            <w:noWrap/>
            <w:vAlign w:val="center"/>
          </w:tcPr>
          <w:p w14:paraId="02FF109A">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4E48A3B3">
        <w:tblPrEx>
          <w:tblCellMar>
            <w:top w:w="0" w:type="dxa"/>
            <w:left w:w="108" w:type="dxa"/>
            <w:bottom w:w="0" w:type="dxa"/>
            <w:right w:w="108" w:type="dxa"/>
          </w:tblCellMar>
        </w:tblPrEx>
        <w:trPr>
          <w:trHeight w:val="420" w:hRule="atLeast"/>
          <w:tblHeader/>
        </w:trPr>
        <w:tc>
          <w:tcPr>
            <w:tcW w:w="2433" w:type="pct"/>
            <w:gridSpan w:val="2"/>
            <w:noWrap/>
            <w:vAlign w:val="center"/>
          </w:tcPr>
          <w:p w14:paraId="22266E16">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填报单位:704</w:t>
            </w:r>
            <w:r>
              <w:rPr>
                <w:rFonts w:hint="eastAsia" w:asciiTheme="minorEastAsia" w:hAnsiTheme="minorEastAsia" w:cstheme="minorEastAsia"/>
                <w:color w:val="000000"/>
                <w:kern w:val="0"/>
                <w:sz w:val="18"/>
                <w:szCs w:val="18"/>
                <w:lang w:eastAsia="zh-CN" w:bidi="ar"/>
              </w:rPr>
              <w:t>新余市渝水区文化广电旅游局</w:t>
            </w:r>
            <w:r>
              <w:rPr>
                <w:rFonts w:hint="eastAsia" w:asciiTheme="minorEastAsia" w:hAnsiTheme="minorEastAsia" w:cstheme="minorEastAsia"/>
                <w:color w:val="000000"/>
                <w:kern w:val="0"/>
                <w:sz w:val="18"/>
                <w:szCs w:val="18"/>
                <w:lang w:bidi="ar"/>
              </w:rPr>
              <w:t>（部门）</w:t>
            </w:r>
          </w:p>
        </w:tc>
        <w:tc>
          <w:tcPr>
            <w:tcW w:w="1056" w:type="pct"/>
            <w:noWrap/>
            <w:vAlign w:val="bottom"/>
          </w:tcPr>
          <w:p w14:paraId="2A8C3B5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103ADD8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71F7CA2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FA6EBBF">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208115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562B3B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FC27194">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2D4EC9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37910A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2235BA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4C62FB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6AA6C4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4AB5F1F">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7D009D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0158CE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3A2553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7060C01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54715EB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43D108C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B61572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0A0E23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3F7BD4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736.04</w:t>
            </w:r>
          </w:p>
        </w:tc>
        <w:tc>
          <w:tcPr>
            <w:tcW w:w="684" w:type="pct"/>
            <w:tcBorders>
              <w:top w:val="single" w:color="000000" w:sz="4" w:space="0"/>
              <w:left w:val="nil"/>
              <w:bottom w:val="single" w:color="000000" w:sz="4" w:space="0"/>
              <w:right w:val="single" w:color="000000" w:sz="4" w:space="0"/>
            </w:tcBorders>
            <w:noWrap/>
            <w:vAlign w:val="center"/>
          </w:tcPr>
          <w:p w14:paraId="036A7B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704.04</w:t>
            </w:r>
          </w:p>
        </w:tc>
        <w:tc>
          <w:tcPr>
            <w:tcW w:w="825" w:type="pct"/>
            <w:tcBorders>
              <w:top w:val="single" w:color="000000" w:sz="4" w:space="0"/>
              <w:left w:val="nil"/>
              <w:bottom w:val="single" w:color="000000" w:sz="4" w:space="0"/>
              <w:right w:val="single" w:color="000000" w:sz="4" w:space="0"/>
            </w:tcBorders>
            <w:noWrap/>
            <w:vAlign w:val="center"/>
          </w:tcPr>
          <w:p w14:paraId="1BC695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32.00</w:t>
            </w:r>
          </w:p>
        </w:tc>
      </w:tr>
      <w:tr w14:paraId="6EC7C13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08C0E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w:t>
            </w:r>
          </w:p>
        </w:tc>
        <w:tc>
          <w:tcPr>
            <w:tcW w:w="1579" w:type="pct"/>
            <w:tcBorders>
              <w:top w:val="single" w:color="000000" w:sz="4" w:space="0"/>
              <w:left w:val="nil"/>
              <w:bottom w:val="single" w:color="000000" w:sz="4" w:space="0"/>
              <w:right w:val="single" w:color="000000" w:sz="4" w:space="0"/>
            </w:tcBorders>
            <w:noWrap/>
            <w:vAlign w:val="center"/>
          </w:tcPr>
          <w:p w14:paraId="5706C1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文化旅游体育与传媒支出</w:t>
            </w:r>
          </w:p>
        </w:tc>
        <w:tc>
          <w:tcPr>
            <w:tcW w:w="1056" w:type="pct"/>
            <w:tcBorders>
              <w:top w:val="single" w:color="000000" w:sz="4" w:space="0"/>
              <w:left w:val="nil"/>
              <w:bottom w:val="single" w:color="000000" w:sz="4" w:space="0"/>
              <w:right w:val="single" w:color="000000" w:sz="4" w:space="0"/>
            </w:tcBorders>
            <w:noWrap/>
            <w:vAlign w:val="center"/>
          </w:tcPr>
          <w:p w14:paraId="623BC9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479.62</w:t>
            </w:r>
          </w:p>
        </w:tc>
        <w:tc>
          <w:tcPr>
            <w:tcW w:w="684" w:type="pct"/>
            <w:tcBorders>
              <w:top w:val="single" w:color="000000" w:sz="4" w:space="0"/>
              <w:left w:val="nil"/>
              <w:bottom w:val="single" w:color="000000" w:sz="4" w:space="0"/>
              <w:right w:val="single" w:color="000000" w:sz="4" w:space="0"/>
            </w:tcBorders>
            <w:noWrap/>
            <w:vAlign w:val="center"/>
          </w:tcPr>
          <w:p w14:paraId="4E53B4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447.62</w:t>
            </w:r>
          </w:p>
        </w:tc>
        <w:tc>
          <w:tcPr>
            <w:tcW w:w="825" w:type="pct"/>
            <w:tcBorders>
              <w:top w:val="single" w:color="000000" w:sz="4" w:space="0"/>
              <w:left w:val="nil"/>
              <w:bottom w:val="single" w:color="000000" w:sz="4" w:space="0"/>
              <w:right w:val="single" w:color="000000" w:sz="4" w:space="0"/>
            </w:tcBorders>
            <w:noWrap/>
            <w:vAlign w:val="center"/>
          </w:tcPr>
          <w:p w14:paraId="104A4E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32.00</w:t>
            </w:r>
          </w:p>
        </w:tc>
      </w:tr>
      <w:tr w14:paraId="28D144A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63993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20701</w:t>
            </w:r>
          </w:p>
        </w:tc>
        <w:tc>
          <w:tcPr>
            <w:tcW w:w="1579" w:type="pct"/>
            <w:tcBorders>
              <w:top w:val="single" w:color="000000" w:sz="4" w:space="0"/>
              <w:left w:val="nil"/>
              <w:bottom w:val="single" w:color="000000" w:sz="4" w:space="0"/>
              <w:right w:val="single" w:color="000000" w:sz="4" w:space="0"/>
            </w:tcBorders>
            <w:noWrap/>
            <w:vAlign w:val="center"/>
          </w:tcPr>
          <w:p w14:paraId="58D091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文化和旅游</w:t>
            </w:r>
          </w:p>
        </w:tc>
        <w:tc>
          <w:tcPr>
            <w:tcW w:w="1056" w:type="pct"/>
            <w:tcBorders>
              <w:top w:val="single" w:color="000000" w:sz="4" w:space="0"/>
              <w:left w:val="nil"/>
              <w:bottom w:val="single" w:color="000000" w:sz="4" w:space="0"/>
              <w:right w:val="single" w:color="000000" w:sz="4" w:space="0"/>
            </w:tcBorders>
            <w:noWrap/>
            <w:vAlign w:val="center"/>
          </w:tcPr>
          <w:p w14:paraId="69876C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479.62</w:t>
            </w:r>
          </w:p>
        </w:tc>
        <w:tc>
          <w:tcPr>
            <w:tcW w:w="684" w:type="pct"/>
            <w:tcBorders>
              <w:top w:val="single" w:color="000000" w:sz="4" w:space="0"/>
              <w:left w:val="nil"/>
              <w:bottom w:val="single" w:color="000000" w:sz="4" w:space="0"/>
              <w:right w:val="single" w:color="000000" w:sz="4" w:space="0"/>
            </w:tcBorders>
            <w:noWrap/>
            <w:vAlign w:val="center"/>
          </w:tcPr>
          <w:p w14:paraId="1ABC96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447.62</w:t>
            </w:r>
          </w:p>
        </w:tc>
        <w:tc>
          <w:tcPr>
            <w:tcW w:w="825" w:type="pct"/>
            <w:tcBorders>
              <w:top w:val="single" w:color="000000" w:sz="4" w:space="0"/>
              <w:left w:val="nil"/>
              <w:bottom w:val="single" w:color="000000" w:sz="4" w:space="0"/>
              <w:right w:val="single" w:color="000000" w:sz="4" w:space="0"/>
            </w:tcBorders>
            <w:noWrap/>
            <w:vAlign w:val="center"/>
          </w:tcPr>
          <w:p w14:paraId="7E2FC7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32.00</w:t>
            </w:r>
          </w:p>
        </w:tc>
      </w:tr>
      <w:tr w14:paraId="1FC658B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36D5B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2070101</w:t>
            </w:r>
          </w:p>
        </w:tc>
        <w:tc>
          <w:tcPr>
            <w:tcW w:w="1579" w:type="pct"/>
            <w:tcBorders>
              <w:top w:val="single" w:color="000000" w:sz="4" w:space="0"/>
              <w:left w:val="nil"/>
              <w:bottom w:val="single" w:color="000000" w:sz="4" w:space="0"/>
              <w:right w:val="single" w:color="000000" w:sz="4" w:space="0"/>
            </w:tcBorders>
            <w:noWrap/>
            <w:vAlign w:val="center"/>
          </w:tcPr>
          <w:p w14:paraId="06822D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653F36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345.29</w:t>
            </w:r>
          </w:p>
        </w:tc>
        <w:tc>
          <w:tcPr>
            <w:tcW w:w="684" w:type="pct"/>
            <w:tcBorders>
              <w:top w:val="single" w:color="000000" w:sz="4" w:space="0"/>
              <w:left w:val="nil"/>
              <w:bottom w:val="single" w:color="000000" w:sz="4" w:space="0"/>
              <w:right w:val="single" w:color="000000" w:sz="4" w:space="0"/>
            </w:tcBorders>
            <w:noWrap/>
            <w:vAlign w:val="center"/>
          </w:tcPr>
          <w:p w14:paraId="39896F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345.29</w:t>
            </w:r>
          </w:p>
        </w:tc>
        <w:tc>
          <w:tcPr>
            <w:tcW w:w="825" w:type="pct"/>
            <w:tcBorders>
              <w:top w:val="single" w:color="000000" w:sz="4" w:space="0"/>
              <w:left w:val="nil"/>
              <w:bottom w:val="single" w:color="000000" w:sz="4" w:space="0"/>
              <w:right w:val="single" w:color="000000" w:sz="4" w:space="0"/>
            </w:tcBorders>
            <w:noWrap/>
            <w:vAlign w:val="center"/>
          </w:tcPr>
          <w:p w14:paraId="4CB675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5C2E90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14EDC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2070104</w:t>
            </w:r>
          </w:p>
        </w:tc>
        <w:tc>
          <w:tcPr>
            <w:tcW w:w="1579" w:type="pct"/>
            <w:tcBorders>
              <w:top w:val="single" w:color="000000" w:sz="4" w:space="0"/>
              <w:left w:val="nil"/>
              <w:bottom w:val="single" w:color="000000" w:sz="4" w:space="0"/>
              <w:right w:val="single" w:color="000000" w:sz="4" w:space="0"/>
            </w:tcBorders>
            <w:noWrap/>
            <w:vAlign w:val="center"/>
          </w:tcPr>
          <w:p w14:paraId="0AB206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图书馆</w:t>
            </w:r>
          </w:p>
        </w:tc>
        <w:tc>
          <w:tcPr>
            <w:tcW w:w="1056" w:type="pct"/>
            <w:tcBorders>
              <w:top w:val="single" w:color="000000" w:sz="4" w:space="0"/>
              <w:left w:val="nil"/>
              <w:bottom w:val="single" w:color="000000" w:sz="4" w:space="0"/>
              <w:right w:val="single" w:color="000000" w:sz="4" w:space="0"/>
            </w:tcBorders>
            <w:noWrap/>
            <w:vAlign w:val="center"/>
          </w:tcPr>
          <w:p w14:paraId="511803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57.88</w:t>
            </w:r>
          </w:p>
        </w:tc>
        <w:tc>
          <w:tcPr>
            <w:tcW w:w="684" w:type="pct"/>
            <w:tcBorders>
              <w:top w:val="single" w:color="000000" w:sz="4" w:space="0"/>
              <w:left w:val="nil"/>
              <w:bottom w:val="single" w:color="000000" w:sz="4" w:space="0"/>
              <w:right w:val="single" w:color="000000" w:sz="4" w:space="0"/>
            </w:tcBorders>
            <w:noWrap/>
            <w:vAlign w:val="center"/>
          </w:tcPr>
          <w:p w14:paraId="1F14F8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42.88</w:t>
            </w:r>
          </w:p>
        </w:tc>
        <w:tc>
          <w:tcPr>
            <w:tcW w:w="825" w:type="pct"/>
            <w:tcBorders>
              <w:top w:val="single" w:color="000000" w:sz="4" w:space="0"/>
              <w:left w:val="nil"/>
              <w:bottom w:val="single" w:color="000000" w:sz="4" w:space="0"/>
              <w:right w:val="single" w:color="000000" w:sz="4" w:space="0"/>
            </w:tcBorders>
            <w:noWrap/>
            <w:vAlign w:val="center"/>
          </w:tcPr>
          <w:p w14:paraId="74668A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15.00</w:t>
            </w:r>
          </w:p>
        </w:tc>
      </w:tr>
      <w:tr w14:paraId="4649CA7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91AEC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2070109</w:t>
            </w:r>
          </w:p>
        </w:tc>
        <w:tc>
          <w:tcPr>
            <w:tcW w:w="1579" w:type="pct"/>
            <w:tcBorders>
              <w:top w:val="single" w:color="000000" w:sz="4" w:space="0"/>
              <w:left w:val="nil"/>
              <w:bottom w:val="single" w:color="000000" w:sz="4" w:space="0"/>
              <w:right w:val="single" w:color="000000" w:sz="4" w:space="0"/>
            </w:tcBorders>
            <w:noWrap/>
            <w:vAlign w:val="center"/>
          </w:tcPr>
          <w:p w14:paraId="29BCCF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群众文化</w:t>
            </w:r>
          </w:p>
        </w:tc>
        <w:tc>
          <w:tcPr>
            <w:tcW w:w="1056" w:type="pct"/>
            <w:tcBorders>
              <w:top w:val="single" w:color="000000" w:sz="4" w:space="0"/>
              <w:left w:val="nil"/>
              <w:bottom w:val="single" w:color="000000" w:sz="4" w:space="0"/>
              <w:right w:val="single" w:color="000000" w:sz="4" w:space="0"/>
            </w:tcBorders>
            <w:noWrap/>
            <w:vAlign w:val="center"/>
          </w:tcPr>
          <w:p w14:paraId="640DA3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61.45</w:t>
            </w:r>
          </w:p>
        </w:tc>
        <w:tc>
          <w:tcPr>
            <w:tcW w:w="684" w:type="pct"/>
            <w:tcBorders>
              <w:top w:val="single" w:color="000000" w:sz="4" w:space="0"/>
              <w:left w:val="nil"/>
              <w:bottom w:val="single" w:color="000000" w:sz="4" w:space="0"/>
              <w:right w:val="single" w:color="000000" w:sz="4" w:space="0"/>
            </w:tcBorders>
            <w:noWrap/>
            <w:vAlign w:val="center"/>
          </w:tcPr>
          <w:p w14:paraId="4C8C21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59.45</w:t>
            </w:r>
          </w:p>
        </w:tc>
        <w:tc>
          <w:tcPr>
            <w:tcW w:w="825" w:type="pct"/>
            <w:tcBorders>
              <w:top w:val="single" w:color="000000" w:sz="4" w:space="0"/>
              <w:left w:val="nil"/>
              <w:bottom w:val="single" w:color="000000" w:sz="4" w:space="0"/>
              <w:right w:val="single" w:color="000000" w:sz="4" w:space="0"/>
            </w:tcBorders>
            <w:noWrap/>
            <w:vAlign w:val="center"/>
          </w:tcPr>
          <w:p w14:paraId="5B1984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w:t>
            </w:r>
          </w:p>
        </w:tc>
      </w:tr>
      <w:tr w14:paraId="585DA1B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AD601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2070112</w:t>
            </w:r>
          </w:p>
        </w:tc>
        <w:tc>
          <w:tcPr>
            <w:tcW w:w="1579" w:type="pct"/>
            <w:tcBorders>
              <w:top w:val="single" w:color="000000" w:sz="4" w:space="0"/>
              <w:left w:val="nil"/>
              <w:bottom w:val="single" w:color="000000" w:sz="4" w:space="0"/>
              <w:right w:val="single" w:color="000000" w:sz="4" w:space="0"/>
            </w:tcBorders>
            <w:noWrap/>
            <w:vAlign w:val="center"/>
          </w:tcPr>
          <w:p w14:paraId="20C987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文化和旅游市场管理</w:t>
            </w:r>
          </w:p>
        </w:tc>
        <w:tc>
          <w:tcPr>
            <w:tcW w:w="1056" w:type="pct"/>
            <w:tcBorders>
              <w:top w:val="single" w:color="000000" w:sz="4" w:space="0"/>
              <w:left w:val="nil"/>
              <w:bottom w:val="single" w:color="000000" w:sz="4" w:space="0"/>
              <w:right w:val="single" w:color="000000" w:sz="4" w:space="0"/>
            </w:tcBorders>
            <w:noWrap/>
            <w:vAlign w:val="center"/>
          </w:tcPr>
          <w:p w14:paraId="0B18A0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15.00</w:t>
            </w:r>
          </w:p>
        </w:tc>
        <w:tc>
          <w:tcPr>
            <w:tcW w:w="684" w:type="pct"/>
            <w:tcBorders>
              <w:top w:val="single" w:color="000000" w:sz="4" w:space="0"/>
              <w:left w:val="nil"/>
              <w:bottom w:val="single" w:color="000000" w:sz="4" w:space="0"/>
              <w:right w:val="single" w:color="000000" w:sz="4" w:space="0"/>
            </w:tcBorders>
            <w:noWrap/>
            <w:vAlign w:val="center"/>
          </w:tcPr>
          <w:p w14:paraId="21D444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7A2619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15.00</w:t>
            </w:r>
          </w:p>
        </w:tc>
      </w:tr>
      <w:tr w14:paraId="6D7F285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D92E7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47AF37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64265B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202.92</w:t>
            </w:r>
          </w:p>
        </w:tc>
        <w:tc>
          <w:tcPr>
            <w:tcW w:w="684" w:type="pct"/>
            <w:tcBorders>
              <w:top w:val="single" w:color="000000" w:sz="4" w:space="0"/>
              <w:left w:val="nil"/>
              <w:bottom w:val="single" w:color="000000" w:sz="4" w:space="0"/>
              <w:right w:val="single" w:color="000000" w:sz="4" w:space="0"/>
            </w:tcBorders>
            <w:noWrap/>
            <w:vAlign w:val="center"/>
          </w:tcPr>
          <w:p w14:paraId="4DB504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202.92</w:t>
            </w:r>
          </w:p>
        </w:tc>
        <w:tc>
          <w:tcPr>
            <w:tcW w:w="825" w:type="pct"/>
            <w:tcBorders>
              <w:top w:val="single" w:color="000000" w:sz="4" w:space="0"/>
              <w:left w:val="nil"/>
              <w:bottom w:val="single" w:color="000000" w:sz="4" w:space="0"/>
              <w:right w:val="single" w:color="000000" w:sz="4" w:space="0"/>
            </w:tcBorders>
            <w:noWrap/>
            <w:vAlign w:val="center"/>
          </w:tcPr>
          <w:p w14:paraId="0908E5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66D9AC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72853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0E60C3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0A5725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202.92</w:t>
            </w:r>
          </w:p>
        </w:tc>
        <w:tc>
          <w:tcPr>
            <w:tcW w:w="684" w:type="pct"/>
            <w:tcBorders>
              <w:top w:val="single" w:color="000000" w:sz="4" w:space="0"/>
              <w:left w:val="nil"/>
              <w:bottom w:val="single" w:color="000000" w:sz="4" w:space="0"/>
              <w:right w:val="single" w:color="000000" w:sz="4" w:space="0"/>
            </w:tcBorders>
            <w:noWrap/>
            <w:vAlign w:val="center"/>
          </w:tcPr>
          <w:p w14:paraId="7025EB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202.92</w:t>
            </w:r>
          </w:p>
        </w:tc>
        <w:tc>
          <w:tcPr>
            <w:tcW w:w="825" w:type="pct"/>
            <w:tcBorders>
              <w:top w:val="single" w:color="000000" w:sz="4" w:space="0"/>
              <w:left w:val="nil"/>
              <w:bottom w:val="single" w:color="000000" w:sz="4" w:space="0"/>
              <w:right w:val="single" w:color="000000" w:sz="4" w:space="0"/>
            </w:tcBorders>
            <w:noWrap/>
            <w:vAlign w:val="center"/>
          </w:tcPr>
          <w:p w14:paraId="47BBB6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CD30DD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92800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2080501</w:t>
            </w:r>
          </w:p>
        </w:tc>
        <w:tc>
          <w:tcPr>
            <w:tcW w:w="1579" w:type="pct"/>
            <w:tcBorders>
              <w:top w:val="single" w:color="000000" w:sz="4" w:space="0"/>
              <w:left w:val="nil"/>
              <w:bottom w:val="single" w:color="000000" w:sz="4" w:space="0"/>
              <w:right w:val="single" w:color="000000" w:sz="4" w:space="0"/>
            </w:tcBorders>
            <w:noWrap/>
            <w:vAlign w:val="center"/>
          </w:tcPr>
          <w:p w14:paraId="305EFC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行政单位离退休</w:t>
            </w:r>
          </w:p>
        </w:tc>
        <w:tc>
          <w:tcPr>
            <w:tcW w:w="1056" w:type="pct"/>
            <w:tcBorders>
              <w:top w:val="single" w:color="000000" w:sz="4" w:space="0"/>
              <w:left w:val="nil"/>
              <w:bottom w:val="single" w:color="000000" w:sz="4" w:space="0"/>
              <w:right w:val="single" w:color="000000" w:sz="4" w:space="0"/>
            </w:tcBorders>
            <w:noWrap/>
            <w:vAlign w:val="center"/>
          </w:tcPr>
          <w:p w14:paraId="68F388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70.50</w:t>
            </w:r>
          </w:p>
        </w:tc>
        <w:tc>
          <w:tcPr>
            <w:tcW w:w="684" w:type="pct"/>
            <w:tcBorders>
              <w:top w:val="single" w:color="000000" w:sz="4" w:space="0"/>
              <w:left w:val="nil"/>
              <w:bottom w:val="single" w:color="000000" w:sz="4" w:space="0"/>
              <w:right w:val="single" w:color="000000" w:sz="4" w:space="0"/>
            </w:tcBorders>
            <w:noWrap/>
            <w:vAlign w:val="center"/>
          </w:tcPr>
          <w:p w14:paraId="194449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70.50</w:t>
            </w:r>
          </w:p>
        </w:tc>
        <w:tc>
          <w:tcPr>
            <w:tcW w:w="825" w:type="pct"/>
            <w:tcBorders>
              <w:top w:val="single" w:color="000000" w:sz="4" w:space="0"/>
              <w:left w:val="nil"/>
              <w:bottom w:val="single" w:color="000000" w:sz="4" w:space="0"/>
              <w:right w:val="single" w:color="000000" w:sz="4" w:space="0"/>
            </w:tcBorders>
            <w:noWrap/>
            <w:vAlign w:val="center"/>
          </w:tcPr>
          <w:p w14:paraId="4F064E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373BC7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1F50B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2080502</w:t>
            </w:r>
          </w:p>
        </w:tc>
        <w:tc>
          <w:tcPr>
            <w:tcW w:w="1579" w:type="pct"/>
            <w:tcBorders>
              <w:top w:val="single" w:color="000000" w:sz="4" w:space="0"/>
              <w:left w:val="nil"/>
              <w:bottom w:val="single" w:color="000000" w:sz="4" w:space="0"/>
              <w:right w:val="single" w:color="000000" w:sz="4" w:space="0"/>
            </w:tcBorders>
            <w:noWrap/>
            <w:vAlign w:val="center"/>
          </w:tcPr>
          <w:p w14:paraId="05F0D9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事业单位离退休</w:t>
            </w:r>
          </w:p>
        </w:tc>
        <w:tc>
          <w:tcPr>
            <w:tcW w:w="1056" w:type="pct"/>
            <w:tcBorders>
              <w:top w:val="single" w:color="000000" w:sz="4" w:space="0"/>
              <w:left w:val="nil"/>
              <w:bottom w:val="single" w:color="000000" w:sz="4" w:space="0"/>
              <w:right w:val="single" w:color="000000" w:sz="4" w:space="0"/>
            </w:tcBorders>
            <w:noWrap/>
            <w:vAlign w:val="center"/>
          </w:tcPr>
          <w:p w14:paraId="657443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41.31</w:t>
            </w:r>
          </w:p>
        </w:tc>
        <w:tc>
          <w:tcPr>
            <w:tcW w:w="684" w:type="pct"/>
            <w:tcBorders>
              <w:top w:val="single" w:color="000000" w:sz="4" w:space="0"/>
              <w:left w:val="nil"/>
              <w:bottom w:val="single" w:color="000000" w:sz="4" w:space="0"/>
              <w:right w:val="single" w:color="000000" w:sz="4" w:space="0"/>
            </w:tcBorders>
            <w:noWrap/>
            <w:vAlign w:val="center"/>
          </w:tcPr>
          <w:p w14:paraId="16A8B0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41.31</w:t>
            </w:r>
          </w:p>
        </w:tc>
        <w:tc>
          <w:tcPr>
            <w:tcW w:w="825" w:type="pct"/>
            <w:tcBorders>
              <w:top w:val="single" w:color="000000" w:sz="4" w:space="0"/>
              <w:left w:val="nil"/>
              <w:bottom w:val="single" w:color="000000" w:sz="4" w:space="0"/>
              <w:right w:val="single" w:color="000000" w:sz="4" w:space="0"/>
            </w:tcBorders>
            <w:noWrap/>
            <w:vAlign w:val="center"/>
          </w:tcPr>
          <w:p w14:paraId="540590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5FF6F8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CEBC2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7D8603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3AEEBC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60.74</w:t>
            </w:r>
          </w:p>
        </w:tc>
        <w:tc>
          <w:tcPr>
            <w:tcW w:w="684" w:type="pct"/>
            <w:tcBorders>
              <w:top w:val="single" w:color="000000" w:sz="4" w:space="0"/>
              <w:left w:val="nil"/>
              <w:bottom w:val="single" w:color="000000" w:sz="4" w:space="0"/>
              <w:right w:val="single" w:color="000000" w:sz="4" w:space="0"/>
            </w:tcBorders>
            <w:noWrap/>
            <w:vAlign w:val="center"/>
          </w:tcPr>
          <w:p w14:paraId="6570B3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60.74</w:t>
            </w:r>
          </w:p>
        </w:tc>
        <w:tc>
          <w:tcPr>
            <w:tcW w:w="825" w:type="pct"/>
            <w:tcBorders>
              <w:top w:val="single" w:color="000000" w:sz="4" w:space="0"/>
              <w:left w:val="nil"/>
              <w:bottom w:val="single" w:color="000000" w:sz="4" w:space="0"/>
              <w:right w:val="single" w:color="000000" w:sz="4" w:space="0"/>
            </w:tcBorders>
            <w:noWrap/>
            <w:vAlign w:val="center"/>
          </w:tcPr>
          <w:p w14:paraId="53329B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0B083B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B2AD1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72FB69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4798CC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30.37</w:t>
            </w:r>
          </w:p>
        </w:tc>
        <w:tc>
          <w:tcPr>
            <w:tcW w:w="684" w:type="pct"/>
            <w:tcBorders>
              <w:top w:val="single" w:color="000000" w:sz="4" w:space="0"/>
              <w:left w:val="nil"/>
              <w:bottom w:val="single" w:color="000000" w:sz="4" w:space="0"/>
              <w:right w:val="single" w:color="000000" w:sz="4" w:space="0"/>
            </w:tcBorders>
            <w:noWrap/>
            <w:vAlign w:val="center"/>
          </w:tcPr>
          <w:p w14:paraId="586128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30.37</w:t>
            </w:r>
          </w:p>
        </w:tc>
        <w:tc>
          <w:tcPr>
            <w:tcW w:w="825" w:type="pct"/>
            <w:tcBorders>
              <w:top w:val="single" w:color="000000" w:sz="4" w:space="0"/>
              <w:left w:val="nil"/>
              <w:bottom w:val="single" w:color="000000" w:sz="4" w:space="0"/>
              <w:right w:val="single" w:color="000000" w:sz="4" w:space="0"/>
            </w:tcBorders>
            <w:noWrap/>
            <w:vAlign w:val="center"/>
          </w:tcPr>
          <w:p w14:paraId="1013D1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B79053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B1294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0DF55D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1680CE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25.82</w:t>
            </w:r>
          </w:p>
        </w:tc>
        <w:tc>
          <w:tcPr>
            <w:tcW w:w="684" w:type="pct"/>
            <w:tcBorders>
              <w:top w:val="single" w:color="000000" w:sz="4" w:space="0"/>
              <w:left w:val="nil"/>
              <w:bottom w:val="single" w:color="000000" w:sz="4" w:space="0"/>
              <w:right w:val="single" w:color="000000" w:sz="4" w:space="0"/>
            </w:tcBorders>
            <w:noWrap/>
            <w:vAlign w:val="center"/>
          </w:tcPr>
          <w:p w14:paraId="5C2ACB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25.82</w:t>
            </w:r>
          </w:p>
        </w:tc>
        <w:tc>
          <w:tcPr>
            <w:tcW w:w="825" w:type="pct"/>
            <w:tcBorders>
              <w:top w:val="single" w:color="000000" w:sz="4" w:space="0"/>
              <w:left w:val="nil"/>
              <w:bottom w:val="single" w:color="000000" w:sz="4" w:space="0"/>
              <w:right w:val="single" w:color="000000" w:sz="4" w:space="0"/>
            </w:tcBorders>
            <w:noWrap/>
            <w:vAlign w:val="center"/>
          </w:tcPr>
          <w:p w14:paraId="2F38ED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053B7B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39ECC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04173F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0D1BF7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25.82</w:t>
            </w:r>
          </w:p>
        </w:tc>
        <w:tc>
          <w:tcPr>
            <w:tcW w:w="684" w:type="pct"/>
            <w:tcBorders>
              <w:top w:val="single" w:color="000000" w:sz="4" w:space="0"/>
              <w:left w:val="nil"/>
              <w:bottom w:val="single" w:color="000000" w:sz="4" w:space="0"/>
              <w:right w:val="single" w:color="000000" w:sz="4" w:space="0"/>
            </w:tcBorders>
            <w:noWrap/>
            <w:vAlign w:val="center"/>
          </w:tcPr>
          <w:p w14:paraId="136D96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25.82</w:t>
            </w:r>
          </w:p>
        </w:tc>
        <w:tc>
          <w:tcPr>
            <w:tcW w:w="825" w:type="pct"/>
            <w:tcBorders>
              <w:top w:val="single" w:color="000000" w:sz="4" w:space="0"/>
              <w:left w:val="nil"/>
              <w:bottom w:val="single" w:color="000000" w:sz="4" w:space="0"/>
              <w:right w:val="single" w:color="000000" w:sz="4" w:space="0"/>
            </w:tcBorders>
            <w:noWrap/>
            <w:vAlign w:val="center"/>
          </w:tcPr>
          <w:p w14:paraId="7C1205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56FA24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4FE1B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07D63D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3844D8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19.83</w:t>
            </w:r>
          </w:p>
        </w:tc>
        <w:tc>
          <w:tcPr>
            <w:tcW w:w="684" w:type="pct"/>
            <w:tcBorders>
              <w:top w:val="single" w:color="000000" w:sz="4" w:space="0"/>
              <w:left w:val="nil"/>
              <w:bottom w:val="single" w:color="000000" w:sz="4" w:space="0"/>
              <w:right w:val="single" w:color="000000" w:sz="4" w:space="0"/>
            </w:tcBorders>
            <w:noWrap/>
            <w:vAlign w:val="center"/>
          </w:tcPr>
          <w:p w14:paraId="4D3CCF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19.83</w:t>
            </w:r>
          </w:p>
        </w:tc>
        <w:tc>
          <w:tcPr>
            <w:tcW w:w="825" w:type="pct"/>
            <w:tcBorders>
              <w:top w:val="single" w:color="000000" w:sz="4" w:space="0"/>
              <w:left w:val="nil"/>
              <w:bottom w:val="single" w:color="000000" w:sz="4" w:space="0"/>
              <w:right w:val="single" w:color="000000" w:sz="4" w:space="0"/>
            </w:tcBorders>
            <w:noWrap/>
            <w:vAlign w:val="center"/>
          </w:tcPr>
          <w:p w14:paraId="095A97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3AF11C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0962F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680249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74A1B9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5.98</w:t>
            </w:r>
          </w:p>
        </w:tc>
        <w:tc>
          <w:tcPr>
            <w:tcW w:w="684" w:type="pct"/>
            <w:tcBorders>
              <w:top w:val="single" w:color="000000" w:sz="4" w:space="0"/>
              <w:left w:val="nil"/>
              <w:bottom w:val="single" w:color="000000" w:sz="4" w:space="0"/>
              <w:right w:val="single" w:color="000000" w:sz="4" w:space="0"/>
            </w:tcBorders>
            <w:noWrap/>
            <w:vAlign w:val="center"/>
          </w:tcPr>
          <w:p w14:paraId="4CD7D3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5.98</w:t>
            </w:r>
          </w:p>
        </w:tc>
        <w:tc>
          <w:tcPr>
            <w:tcW w:w="825" w:type="pct"/>
            <w:tcBorders>
              <w:top w:val="single" w:color="000000" w:sz="4" w:space="0"/>
              <w:left w:val="nil"/>
              <w:bottom w:val="single" w:color="000000" w:sz="4" w:space="0"/>
              <w:right w:val="single" w:color="000000" w:sz="4" w:space="0"/>
            </w:tcBorders>
            <w:noWrap/>
            <w:vAlign w:val="center"/>
          </w:tcPr>
          <w:p w14:paraId="50240A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38697A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D1E81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2101103</w:t>
            </w:r>
          </w:p>
        </w:tc>
        <w:tc>
          <w:tcPr>
            <w:tcW w:w="1579" w:type="pct"/>
            <w:tcBorders>
              <w:top w:val="single" w:color="000000" w:sz="4" w:space="0"/>
              <w:left w:val="nil"/>
              <w:bottom w:val="single" w:color="000000" w:sz="4" w:space="0"/>
              <w:right w:val="single" w:color="000000" w:sz="4" w:space="0"/>
            </w:tcBorders>
            <w:noWrap/>
            <w:vAlign w:val="center"/>
          </w:tcPr>
          <w:p w14:paraId="141E25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w:t>
            </w:r>
          </w:p>
        </w:tc>
        <w:tc>
          <w:tcPr>
            <w:tcW w:w="1056" w:type="pct"/>
            <w:tcBorders>
              <w:top w:val="single" w:color="000000" w:sz="4" w:space="0"/>
              <w:left w:val="nil"/>
              <w:bottom w:val="single" w:color="000000" w:sz="4" w:space="0"/>
              <w:right w:val="single" w:color="000000" w:sz="4" w:space="0"/>
            </w:tcBorders>
            <w:noWrap/>
            <w:vAlign w:val="center"/>
          </w:tcPr>
          <w:p w14:paraId="070126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noWrap/>
            <w:vAlign w:val="center"/>
          </w:tcPr>
          <w:p w14:paraId="310047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70D3F4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E8BCB3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031C5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0CF9AF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60AF11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27.68</w:t>
            </w:r>
          </w:p>
        </w:tc>
        <w:tc>
          <w:tcPr>
            <w:tcW w:w="684" w:type="pct"/>
            <w:tcBorders>
              <w:top w:val="single" w:color="000000" w:sz="4" w:space="0"/>
              <w:left w:val="nil"/>
              <w:bottom w:val="single" w:color="000000" w:sz="4" w:space="0"/>
              <w:right w:val="single" w:color="000000" w:sz="4" w:space="0"/>
            </w:tcBorders>
            <w:noWrap/>
            <w:vAlign w:val="center"/>
          </w:tcPr>
          <w:p w14:paraId="4CC8A5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27.68</w:t>
            </w:r>
          </w:p>
        </w:tc>
        <w:tc>
          <w:tcPr>
            <w:tcW w:w="825" w:type="pct"/>
            <w:tcBorders>
              <w:top w:val="single" w:color="000000" w:sz="4" w:space="0"/>
              <w:left w:val="nil"/>
              <w:bottom w:val="single" w:color="000000" w:sz="4" w:space="0"/>
              <w:right w:val="single" w:color="000000" w:sz="4" w:space="0"/>
            </w:tcBorders>
            <w:noWrap/>
            <w:vAlign w:val="center"/>
          </w:tcPr>
          <w:p w14:paraId="0FA162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A8509A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A8D2C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06F362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266918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27.68</w:t>
            </w:r>
          </w:p>
        </w:tc>
        <w:tc>
          <w:tcPr>
            <w:tcW w:w="684" w:type="pct"/>
            <w:tcBorders>
              <w:top w:val="single" w:color="000000" w:sz="4" w:space="0"/>
              <w:left w:val="nil"/>
              <w:bottom w:val="single" w:color="000000" w:sz="4" w:space="0"/>
              <w:right w:val="single" w:color="000000" w:sz="4" w:space="0"/>
            </w:tcBorders>
            <w:noWrap/>
            <w:vAlign w:val="center"/>
          </w:tcPr>
          <w:p w14:paraId="0FD8AD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27.68</w:t>
            </w:r>
          </w:p>
        </w:tc>
        <w:tc>
          <w:tcPr>
            <w:tcW w:w="825" w:type="pct"/>
            <w:tcBorders>
              <w:top w:val="single" w:color="000000" w:sz="4" w:space="0"/>
              <w:left w:val="nil"/>
              <w:bottom w:val="single" w:color="000000" w:sz="4" w:space="0"/>
              <w:right w:val="single" w:color="000000" w:sz="4" w:space="0"/>
            </w:tcBorders>
            <w:noWrap/>
            <w:vAlign w:val="center"/>
          </w:tcPr>
          <w:p w14:paraId="2D0471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1628A4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01203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6CB0DB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237514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27.68</w:t>
            </w:r>
          </w:p>
        </w:tc>
        <w:tc>
          <w:tcPr>
            <w:tcW w:w="684" w:type="pct"/>
            <w:tcBorders>
              <w:top w:val="single" w:color="000000" w:sz="4" w:space="0"/>
              <w:left w:val="nil"/>
              <w:bottom w:val="single" w:color="000000" w:sz="4" w:space="0"/>
              <w:right w:val="single" w:color="000000" w:sz="4" w:space="0"/>
            </w:tcBorders>
            <w:noWrap/>
            <w:vAlign w:val="center"/>
          </w:tcPr>
          <w:p w14:paraId="7E8A81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27.68</w:t>
            </w:r>
          </w:p>
        </w:tc>
        <w:tc>
          <w:tcPr>
            <w:tcW w:w="825" w:type="pct"/>
            <w:tcBorders>
              <w:top w:val="single" w:color="000000" w:sz="4" w:space="0"/>
              <w:left w:val="nil"/>
              <w:bottom w:val="single" w:color="000000" w:sz="4" w:space="0"/>
              <w:right w:val="single" w:color="000000" w:sz="4" w:space="0"/>
            </w:tcBorders>
            <w:noWrap/>
            <w:vAlign w:val="center"/>
          </w:tcPr>
          <w:p w14:paraId="6E583A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46FD67FE">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63A23522">
        <w:tblPrEx>
          <w:tblCellMar>
            <w:top w:w="0" w:type="dxa"/>
            <w:left w:w="108" w:type="dxa"/>
            <w:bottom w:w="0" w:type="dxa"/>
            <w:right w:w="108" w:type="dxa"/>
          </w:tblCellMar>
        </w:tblPrEx>
        <w:trPr>
          <w:trHeight w:val="585" w:hRule="atLeast"/>
        </w:trPr>
        <w:tc>
          <w:tcPr>
            <w:tcW w:w="5000" w:type="pct"/>
            <w:gridSpan w:val="5"/>
            <w:noWrap/>
            <w:vAlign w:val="center"/>
          </w:tcPr>
          <w:p w14:paraId="28470700">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72853E01">
        <w:tblPrEx>
          <w:tblCellMar>
            <w:top w:w="0" w:type="dxa"/>
            <w:left w:w="108" w:type="dxa"/>
            <w:bottom w:w="0" w:type="dxa"/>
            <w:right w:w="108" w:type="dxa"/>
          </w:tblCellMar>
        </w:tblPrEx>
        <w:trPr>
          <w:trHeight w:val="420" w:hRule="atLeast"/>
        </w:trPr>
        <w:tc>
          <w:tcPr>
            <w:tcW w:w="2398" w:type="pct"/>
            <w:gridSpan w:val="2"/>
            <w:noWrap/>
            <w:vAlign w:val="center"/>
          </w:tcPr>
          <w:p w14:paraId="2F14D991">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填报单位:704</w:t>
            </w:r>
            <w:r>
              <w:rPr>
                <w:rFonts w:hint="eastAsia" w:asciiTheme="minorEastAsia" w:hAnsiTheme="minorEastAsia" w:cstheme="minorEastAsia"/>
                <w:color w:val="000000"/>
                <w:kern w:val="0"/>
                <w:sz w:val="18"/>
                <w:szCs w:val="18"/>
                <w:lang w:eastAsia="zh-CN" w:bidi="ar"/>
              </w:rPr>
              <w:t>新余市渝水区文化广电旅游局</w:t>
            </w:r>
            <w:r>
              <w:rPr>
                <w:rFonts w:hint="eastAsia" w:asciiTheme="minorEastAsia" w:hAnsiTheme="minorEastAsia" w:cstheme="minorEastAsia"/>
                <w:color w:val="000000"/>
                <w:kern w:val="0"/>
                <w:sz w:val="18"/>
                <w:szCs w:val="18"/>
                <w:lang w:bidi="ar"/>
              </w:rPr>
              <w:t>（部门）</w:t>
            </w:r>
          </w:p>
        </w:tc>
        <w:tc>
          <w:tcPr>
            <w:tcW w:w="891" w:type="pct"/>
            <w:noWrap/>
            <w:vAlign w:val="bottom"/>
          </w:tcPr>
          <w:p w14:paraId="60055D3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24E5AC9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156EE71D">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34EB594">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32D904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6A8133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6C10BFB7">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206EEC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2ABEE6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6A1B31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0416E0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393502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3A89557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93142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78CE0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7DA13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B03A1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57E2E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45715C7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3B303F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14633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BF8CA1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704.04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3CF43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662.04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ED1A8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42.00</w:t>
            </w:r>
          </w:p>
        </w:tc>
      </w:tr>
      <w:tr w14:paraId="21E8DB0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6E5F5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1D481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B2110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548.91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B6939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548.91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CB12D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0F4884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B3AE3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F170B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6D005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149.02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AFDF70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149.02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07C1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EC0AD3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CD96E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7661A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38278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29.33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21A5F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29.33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270A0F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12F182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28F51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F4D8C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EFB21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57.92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C2A9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57.92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98305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3AA5CE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F013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D0366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伙食补助费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BFE4F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65A30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17.40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08180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EDDF92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94467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818E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6980F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143.84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7A798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143.84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44A3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BC74A1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C8F7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3866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66362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60.74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B9F42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60.74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B73FD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D35D19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850AA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ABC90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B6DBA3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30.37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276E0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30.37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61D40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A815E9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8F926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0FD42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6E64E5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25.82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7CC11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25.82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099F75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DC03CC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E5DA4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D9F92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5655D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37DB3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EF47CC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531EE2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43B3C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382B2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5FFE6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F9C9C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0930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55810D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EBD0C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4034B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754948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27.68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E3EA22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27.68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133B6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10E181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DC578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7035A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552D1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C1F69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5A12A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177BC7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27E39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96B7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DA49C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36.00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4DD4E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46394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36.00</w:t>
            </w:r>
          </w:p>
        </w:tc>
      </w:tr>
      <w:tr w14:paraId="256327C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F6E9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9BF19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BA8CA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8.90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BFB2E0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C8BC2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8.90</w:t>
            </w:r>
          </w:p>
        </w:tc>
      </w:tr>
      <w:tr w14:paraId="4E9C328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B96D1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C48DC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7AA6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7F6202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BCF315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0.45</w:t>
            </w:r>
          </w:p>
        </w:tc>
      </w:tr>
      <w:tr w14:paraId="1070DBE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E1D5D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B8BDF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BF6D6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2BC883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B59AF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0.12</w:t>
            </w:r>
          </w:p>
        </w:tc>
      </w:tr>
      <w:tr w14:paraId="48FEE06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99FBB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C9047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B313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0.90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63F7A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3E9B8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0.90</w:t>
            </w:r>
          </w:p>
        </w:tc>
      </w:tr>
      <w:tr w14:paraId="5025DCA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554B1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46C97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70CBDA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E4D76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D7867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1.30</w:t>
            </w:r>
          </w:p>
        </w:tc>
      </w:tr>
      <w:tr w14:paraId="539C085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F96BF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DF141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54C06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DCD187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5DDC4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0.52</w:t>
            </w:r>
          </w:p>
        </w:tc>
      </w:tr>
      <w:tr w14:paraId="5D6D92A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054FC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08DE7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BA74F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DF03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50FBB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0.35</w:t>
            </w:r>
          </w:p>
        </w:tc>
      </w:tr>
      <w:tr w14:paraId="3AA1AC9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CC74A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3B988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C271C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3FC187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674FE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0F40830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DF17E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65765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0CE1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9.42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75CC3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9D744C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9.42</w:t>
            </w:r>
          </w:p>
        </w:tc>
      </w:tr>
      <w:tr w14:paraId="23BB061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3485E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4F8F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37EC3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FD660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3AB621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2.76</w:t>
            </w:r>
          </w:p>
        </w:tc>
      </w:tr>
      <w:tr w14:paraId="01E061B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FD61E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8B8E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981E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10.49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B937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F4EE8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10.49</w:t>
            </w:r>
          </w:p>
        </w:tc>
      </w:tr>
      <w:tr w14:paraId="358DCDD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BB1CA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417F5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DEEE0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CE1E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4633C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0.29</w:t>
            </w:r>
          </w:p>
        </w:tc>
      </w:tr>
      <w:tr w14:paraId="76159D2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846BD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FEFC1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19D0F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113.13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F0FA8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113.13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410BC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60E960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A30C9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CD596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C7152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110.34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76C26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110.34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93BA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BE3EB6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A4B2B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E2B21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奖励金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562A0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FD1AA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BB6C4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85E8C6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4B1C8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401A2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0317B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0A4A49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B515D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7F6325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6AAF5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C88D4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资本性支出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A979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48D3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CF8DD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6.00</w:t>
            </w:r>
          </w:p>
        </w:tc>
      </w:tr>
      <w:tr w14:paraId="1742754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7C13D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83F08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办公设备购置</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2001CB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0A90B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060A9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r>
    </w:tbl>
    <w:p w14:paraId="251B1EF0">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08C35F82">
        <w:tblPrEx>
          <w:tblCellMar>
            <w:top w:w="0" w:type="dxa"/>
            <w:left w:w="108" w:type="dxa"/>
            <w:bottom w:w="0" w:type="dxa"/>
            <w:right w:w="108" w:type="dxa"/>
          </w:tblCellMar>
        </w:tblPrEx>
        <w:trPr>
          <w:trHeight w:val="450" w:hRule="atLeast"/>
          <w:tblHeader/>
        </w:trPr>
        <w:tc>
          <w:tcPr>
            <w:tcW w:w="636" w:type="pct"/>
            <w:noWrap/>
            <w:vAlign w:val="bottom"/>
          </w:tcPr>
          <w:p w14:paraId="1FFD3FA8">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61FF0583">
            <w:pPr>
              <w:widowControl/>
              <w:jc w:val="left"/>
              <w:rPr>
                <w:rFonts w:ascii="Times New Roman" w:hAnsi="Times New Roman" w:eastAsia="宋体"/>
                <w:kern w:val="0"/>
                <w:sz w:val="20"/>
                <w:szCs w:val="20"/>
              </w:rPr>
            </w:pPr>
          </w:p>
        </w:tc>
        <w:tc>
          <w:tcPr>
            <w:tcW w:w="684" w:type="pct"/>
            <w:noWrap/>
            <w:vAlign w:val="bottom"/>
          </w:tcPr>
          <w:p w14:paraId="2685A290">
            <w:pPr>
              <w:widowControl/>
              <w:jc w:val="left"/>
              <w:rPr>
                <w:rFonts w:ascii="Times New Roman" w:hAnsi="Times New Roman" w:eastAsia="宋体"/>
                <w:kern w:val="0"/>
                <w:sz w:val="20"/>
                <w:szCs w:val="20"/>
              </w:rPr>
            </w:pPr>
          </w:p>
        </w:tc>
        <w:tc>
          <w:tcPr>
            <w:tcW w:w="538" w:type="pct"/>
            <w:noWrap/>
            <w:vAlign w:val="bottom"/>
          </w:tcPr>
          <w:p w14:paraId="08CAAF48">
            <w:pPr>
              <w:widowControl/>
              <w:jc w:val="left"/>
              <w:rPr>
                <w:rFonts w:ascii="Times New Roman" w:hAnsi="Times New Roman" w:eastAsia="宋体"/>
                <w:kern w:val="0"/>
                <w:sz w:val="20"/>
                <w:szCs w:val="20"/>
              </w:rPr>
            </w:pPr>
          </w:p>
        </w:tc>
        <w:tc>
          <w:tcPr>
            <w:tcW w:w="2836" w:type="pct"/>
            <w:gridSpan w:val="5"/>
            <w:noWrap/>
            <w:vAlign w:val="center"/>
          </w:tcPr>
          <w:p w14:paraId="29123AA1">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13AA03CB">
        <w:tblPrEx>
          <w:tblCellMar>
            <w:top w:w="0" w:type="dxa"/>
            <w:left w:w="108" w:type="dxa"/>
            <w:bottom w:w="0" w:type="dxa"/>
            <w:right w:w="108" w:type="dxa"/>
          </w:tblCellMar>
        </w:tblPrEx>
        <w:trPr>
          <w:trHeight w:val="485" w:hRule="atLeast"/>
          <w:tblHeader/>
        </w:trPr>
        <w:tc>
          <w:tcPr>
            <w:tcW w:w="5000" w:type="pct"/>
            <w:gridSpan w:val="9"/>
            <w:noWrap/>
            <w:vAlign w:val="center"/>
          </w:tcPr>
          <w:p w14:paraId="07AEBF3C">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1FA9BD2E">
        <w:tblPrEx>
          <w:tblCellMar>
            <w:top w:w="0" w:type="dxa"/>
            <w:left w:w="108" w:type="dxa"/>
            <w:bottom w:w="0" w:type="dxa"/>
            <w:right w:w="108" w:type="dxa"/>
          </w:tblCellMar>
        </w:tblPrEx>
        <w:trPr>
          <w:trHeight w:val="340" w:hRule="atLeast"/>
          <w:tblHeader/>
        </w:trPr>
        <w:tc>
          <w:tcPr>
            <w:tcW w:w="2163" w:type="pct"/>
            <w:gridSpan w:val="4"/>
            <w:noWrap/>
            <w:vAlign w:val="center"/>
          </w:tcPr>
          <w:p w14:paraId="117950E4">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填报单位:704</w:t>
            </w:r>
            <w:r>
              <w:rPr>
                <w:rFonts w:hint="eastAsia" w:asciiTheme="minorEastAsia" w:hAnsiTheme="minorEastAsia" w:cstheme="minorEastAsia"/>
                <w:color w:val="000000"/>
                <w:kern w:val="0"/>
                <w:sz w:val="18"/>
                <w:szCs w:val="18"/>
                <w:lang w:eastAsia="zh-CN" w:bidi="ar"/>
              </w:rPr>
              <w:t>新余市渝水区文化广电旅游局</w:t>
            </w:r>
            <w:r>
              <w:rPr>
                <w:rFonts w:hint="eastAsia" w:asciiTheme="minorEastAsia" w:hAnsiTheme="minorEastAsia" w:cstheme="minorEastAsia"/>
                <w:color w:val="000000"/>
                <w:kern w:val="0"/>
                <w:sz w:val="18"/>
                <w:szCs w:val="18"/>
                <w:lang w:bidi="ar"/>
              </w:rPr>
              <w:t>（部门）</w:t>
            </w:r>
          </w:p>
        </w:tc>
        <w:tc>
          <w:tcPr>
            <w:tcW w:w="742" w:type="pct"/>
            <w:noWrap/>
            <w:vAlign w:val="bottom"/>
          </w:tcPr>
          <w:p w14:paraId="5F85108A">
            <w:pPr>
              <w:widowControl/>
              <w:jc w:val="left"/>
              <w:rPr>
                <w:rFonts w:ascii="Times New Roman" w:hAnsi="Times New Roman" w:eastAsia="宋体"/>
                <w:kern w:val="0"/>
                <w:sz w:val="20"/>
                <w:szCs w:val="20"/>
              </w:rPr>
            </w:pPr>
          </w:p>
        </w:tc>
        <w:tc>
          <w:tcPr>
            <w:tcW w:w="474" w:type="pct"/>
            <w:noWrap/>
            <w:vAlign w:val="bottom"/>
          </w:tcPr>
          <w:p w14:paraId="54A22A34">
            <w:pPr>
              <w:widowControl/>
              <w:jc w:val="left"/>
              <w:rPr>
                <w:rFonts w:ascii="Times New Roman" w:hAnsi="Times New Roman" w:eastAsia="宋体"/>
                <w:kern w:val="0"/>
                <w:sz w:val="20"/>
                <w:szCs w:val="20"/>
              </w:rPr>
            </w:pPr>
          </w:p>
        </w:tc>
        <w:tc>
          <w:tcPr>
            <w:tcW w:w="596" w:type="pct"/>
            <w:noWrap/>
            <w:vAlign w:val="bottom"/>
          </w:tcPr>
          <w:p w14:paraId="140B30F8">
            <w:pPr>
              <w:widowControl/>
              <w:jc w:val="left"/>
              <w:rPr>
                <w:rFonts w:ascii="Times New Roman" w:hAnsi="Times New Roman" w:eastAsia="宋体"/>
                <w:kern w:val="0"/>
                <w:sz w:val="20"/>
                <w:szCs w:val="20"/>
              </w:rPr>
            </w:pPr>
          </w:p>
        </w:tc>
        <w:tc>
          <w:tcPr>
            <w:tcW w:w="1023" w:type="pct"/>
            <w:gridSpan w:val="2"/>
            <w:noWrap/>
            <w:vAlign w:val="bottom"/>
          </w:tcPr>
          <w:p w14:paraId="7E211EF8">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3BD1CA79">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53E3D6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66FB56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2C19BA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27F253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29F0C2B0">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60B68A8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3B3C3D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6F9510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07D1D5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2D3A870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7B2954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272E90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1DE2DE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7296D3D5">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516D72BC">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7996E4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5F0BC7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67CF72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59C6A8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5885EE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0D1818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211B07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46B93C8D">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180BBE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9.42</w:t>
            </w:r>
          </w:p>
        </w:tc>
        <w:tc>
          <w:tcPr>
            <w:tcW w:w="684" w:type="pct"/>
            <w:tcBorders>
              <w:top w:val="single" w:color="000000" w:sz="4" w:space="0"/>
              <w:left w:val="nil"/>
              <w:bottom w:val="single" w:color="000000" w:sz="4" w:space="0"/>
              <w:right w:val="single" w:color="000000" w:sz="4" w:space="0"/>
            </w:tcBorders>
            <w:vAlign w:val="center"/>
          </w:tcPr>
          <w:p w14:paraId="1FCAE1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31E80B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02D631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66BCCA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9.42</w:t>
            </w:r>
          </w:p>
        </w:tc>
        <w:tc>
          <w:tcPr>
            <w:tcW w:w="596" w:type="pct"/>
            <w:tcBorders>
              <w:top w:val="single" w:color="000000" w:sz="4" w:space="0"/>
              <w:left w:val="single" w:color="000000" w:sz="4" w:space="0"/>
              <w:bottom w:val="single" w:color="000000" w:sz="4" w:space="0"/>
              <w:right w:val="nil"/>
            </w:tcBorders>
            <w:vAlign w:val="center"/>
          </w:tcPr>
          <w:p w14:paraId="5FFEED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51894DE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0D5D11A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4C944E10">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4700E78A">
        <w:tblPrEx>
          <w:tblCellMar>
            <w:top w:w="0" w:type="dxa"/>
            <w:left w:w="108" w:type="dxa"/>
            <w:bottom w:w="0" w:type="dxa"/>
            <w:right w:w="108" w:type="dxa"/>
          </w:tblCellMar>
        </w:tblPrEx>
        <w:trPr>
          <w:trHeight w:val="507" w:hRule="atLeast"/>
          <w:tblHeader/>
        </w:trPr>
        <w:tc>
          <w:tcPr>
            <w:tcW w:w="976" w:type="pct"/>
            <w:noWrap/>
            <w:vAlign w:val="bottom"/>
          </w:tcPr>
          <w:p w14:paraId="6FF39811">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3BEFB029">
            <w:pPr>
              <w:widowControl/>
              <w:jc w:val="left"/>
              <w:rPr>
                <w:rFonts w:ascii="Times New Roman" w:hAnsi="Times New Roman" w:eastAsia="宋体"/>
                <w:kern w:val="0"/>
                <w:sz w:val="20"/>
                <w:szCs w:val="20"/>
              </w:rPr>
            </w:pPr>
          </w:p>
        </w:tc>
        <w:tc>
          <w:tcPr>
            <w:tcW w:w="2801" w:type="pct"/>
            <w:gridSpan w:val="3"/>
            <w:noWrap/>
            <w:vAlign w:val="center"/>
          </w:tcPr>
          <w:p w14:paraId="575697FF">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78902241">
        <w:tblPrEx>
          <w:tblCellMar>
            <w:top w:w="0" w:type="dxa"/>
            <w:left w:w="108" w:type="dxa"/>
            <w:bottom w:w="0" w:type="dxa"/>
            <w:right w:w="108" w:type="dxa"/>
          </w:tblCellMar>
        </w:tblPrEx>
        <w:trPr>
          <w:trHeight w:val="564" w:hRule="atLeast"/>
          <w:tblHeader/>
        </w:trPr>
        <w:tc>
          <w:tcPr>
            <w:tcW w:w="5000" w:type="pct"/>
            <w:gridSpan w:val="5"/>
            <w:noWrap/>
            <w:vAlign w:val="center"/>
          </w:tcPr>
          <w:p w14:paraId="5142D418">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60203AA5">
        <w:tblPrEx>
          <w:tblCellMar>
            <w:top w:w="0" w:type="dxa"/>
            <w:left w:w="108" w:type="dxa"/>
            <w:bottom w:w="0" w:type="dxa"/>
            <w:right w:w="108" w:type="dxa"/>
          </w:tblCellMar>
        </w:tblPrEx>
        <w:trPr>
          <w:trHeight w:val="405" w:hRule="atLeast"/>
          <w:tblHeader/>
        </w:trPr>
        <w:tc>
          <w:tcPr>
            <w:tcW w:w="2198" w:type="pct"/>
            <w:gridSpan w:val="2"/>
            <w:noWrap/>
            <w:vAlign w:val="center"/>
          </w:tcPr>
          <w:p w14:paraId="48496B9B">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填报单位:704</w:t>
            </w:r>
            <w:r>
              <w:rPr>
                <w:rFonts w:hint="eastAsia" w:asciiTheme="minorEastAsia" w:hAnsiTheme="minorEastAsia" w:cstheme="minorEastAsia"/>
                <w:color w:val="000000"/>
                <w:kern w:val="0"/>
                <w:sz w:val="18"/>
                <w:szCs w:val="18"/>
                <w:lang w:eastAsia="zh-CN" w:bidi="ar"/>
              </w:rPr>
              <w:t>新余市渝水区文化广电旅游局</w:t>
            </w:r>
            <w:r>
              <w:rPr>
                <w:rFonts w:hint="eastAsia" w:asciiTheme="minorEastAsia" w:hAnsiTheme="minorEastAsia" w:cstheme="minorEastAsia"/>
                <w:color w:val="000000"/>
                <w:kern w:val="0"/>
                <w:sz w:val="18"/>
                <w:szCs w:val="18"/>
                <w:lang w:bidi="ar"/>
              </w:rPr>
              <w:t>（部门）</w:t>
            </w:r>
          </w:p>
        </w:tc>
        <w:tc>
          <w:tcPr>
            <w:tcW w:w="1099" w:type="pct"/>
            <w:noWrap/>
            <w:vAlign w:val="bottom"/>
          </w:tcPr>
          <w:p w14:paraId="5D212B19">
            <w:pPr>
              <w:rPr>
                <w:rFonts w:hint="eastAsia" w:ascii="宋体" w:hAnsi="宋体" w:eastAsia="宋体" w:cs="Arial"/>
                <w:color w:val="000000"/>
                <w:kern w:val="0"/>
                <w:sz w:val="24"/>
                <w:szCs w:val="24"/>
              </w:rPr>
            </w:pPr>
          </w:p>
        </w:tc>
        <w:tc>
          <w:tcPr>
            <w:tcW w:w="766" w:type="pct"/>
            <w:noWrap/>
            <w:vAlign w:val="bottom"/>
          </w:tcPr>
          <w:p w14:paraId="363488B7">
            <w:pPr>
              <w:widowControl/>
              <w:jc w:val="left"/>
              <w:rPr>
                <w:rFonts w:ascii="Times New Roman" w:hAnsi="Times New Roman" w:eastAsia="宋体"/>
                <w:kern w:val="0"/>
                <w:sz w:val="20"/>
                <w:szCs w:val="20"/>
              </w:rPr>
            </w:pPr>
          </w:p>
        </w:tc>
        <w:tc>
          <w:tcPr>
            <w:tcW w:w="935" w:type="pct"/>
            <w:noWrap/>
            <w:vAlign w:val="center"/>
          </w:tcPr>
          <w:p w14:paraId="102D4C95">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5FC911E">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6C83CE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1B31ED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A7940CA">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3A83E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3039CE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7813EB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05AA0A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7B52AA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BF8D7DA">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29EC2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386289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042595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2097BD0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070F5E9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3145751">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7F59AAB0">
        <w:tblPrEx>
          <w:tblCellMar>
            <w:top w:w="0" w:type="dxa"/>
            <w:left w:w="108" w:type="dxa"/>
            <w:bottom w:w="0" w:type="dxa"/>
            <w:right w:w="108" w:type="dxa"/>
          </w:tblCellMar>
        </w:tblPrEx>
        <w:trPr>
          <w:trHeight w:val="619" w:hRule="atLeast"/>
          <w:tblHeader/>
        </w:trPr>
        <w:tc>
          <w:tcPr>
            <w:tcW w:w="960" w:type="pct"/>
            <w:noWrap/>
            <w:vAlign w:val="bottom"/>
          </w:tcPr>
          <w:p w14:paraId="638074A4">
            <w:pPr>
              <w:rPr>
                <w:rStyle w:val="12"/>
                <w:rFonts w:hint="eastAsia" w:ascii="仿宋" w:hAnsi="仿宋" w:eastAsia="仿宋"/>
                <w:bCs/>
                <w:sz w:val="32"/>
                <w:szCs w:val="32"/>
              </w:rPr>
            </w:pPr>
          </w:p>
        </w:tc>
        <w:tc>
          <w:tcPr>
            <w:tcW w:w="1233" w:type="pct"/>
            <w:noWrap/>
            <w:vAlign w:val="bottom"/>
          </w:tcPr>
          <w:p w14:paraId="62A9AB51">
            <w:pPr>
              <w:widowControl/>
              <w:jc w:val="left"/>
              <w:rPr>
                <w:rFonts w:ascii="Times New Roman" w:hAnsi="Times New Roman" w:eastAsia="宋体"/>
                <w:kern w:val="0"/>
                <w:sz w:val="20"/>
                <w:szCs w:val="20"/>
              </w:rPr>
            </w:pPr>
          </w:p>
        </w:tc>
        <w:tc>
          <w:tcPr>
            <w:tcW w:w="2805" w:type="pct"/>
            <w:gridSpan w:val="3"/>
            <w:noWrap/>
            <w:vAlign w:val="center"/>
          </w:tcPr>
          <w:p w14:paraId="51B35A47">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2445C9E5">
        <w:tblPrEx>
          <w:tblCellMar>
            <w:top w:w="0" w:type="dxa"/>
            <w:left w:w="108" w:type="dxa"/>
            <w:bottom w:w="0" w:type="dxa"/>
            <w:right w:w="108" w:type="dxa"/>
          </w:tblCellMar>
        </w:tblPrEx>
        <w:trPr>
          <w:trHeight w:val="613" w:hRule="atLeast"/>
          <w:tblHeader/>
        </w:trPr>
        <w:tc>
          <w:tcPr>
            <w:tcW w:w="5000" w:type="pct"/>
            <w:gridSpan w:val="5"/>
            <w:noWrap/>
            <w:vAlign w:val="center"/>
          </w:tcPr>
          <w:p w14:paraId="65C55965">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4600760D">
        <w:tblPrEx>
          <w:tblCellMar>
            <w:top w:w="0" w:type="dxa"/>
            <w:left w:w="108" w:type="dxa"/>
            <w:bottom w:w="0" w:type="dxa"/>
            <w:right w:w="108" w:type="dxa"/>
          </w:tblCellMar>
        </w:tblPrEx>
        <w:trPr>
          <w:trHeight w:val="413" w:hRule="atLeast"/>
          <w:tblHeader/>
        </w:trPr>
        <w:tc>
          <w:tcPr>
            <w:tcW w:w="3282" w:type="pct"/>
            <w:gridSpan w:val="3"/>
            <w:noWrap/>
            <w:vAlign w:val="center"/>
          </w:tcPr>
          <w:p w14:paraId="09582B0C">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填报单位:704</w:t>
            </w:r>
            <w:r>
              <w:rPr>
                <w:rFonts w:hint="eastAsia" w:asciiTheme="minorEastAsia" w:hAnsiTheme="minorEastAsia" w:cstheme="minorEastAsia"/>
                <w:color w:val="000000"/>
                <w:kern w:val="0"/>
                <w:sz w:val="18"/>
                <w:szCs w:val="18"/>
                <w:lang w:eastAsia="zh-CN" w:bidi="ar"/>
              </w:rPr>
              <w:t>新余市渝水区文化广电旅游局</w:t>
            </w:r>
            <w:r>
              <w:rPr>
                <w:rFonts w:hint="eastAsia" w:asciiTheme="minorEastAsia" w:hAnsiTheme="minorEastAsia" w:cstheme="minorEastAsia"/>
                <w:color w:val="000000"/>
                <w:kern w:val="0"/>
                <w:sz w:val="18"/>
                <w:szCs w:val="18"/>
                <w:lang w:bidi="ar"/>
              </w:rPr>
              <w:t>（部门）</w:t>
            </w:r>
          </w:p>
        </w:tc>
        <w:tc>
          <w:tcPr>
            <w:tcW w:w="762" w:type="pct"/>
            <w:noWrap/>
            <w:vAlign w:val="bottom"/>
          </w:tcPr>
          <w:p w14:paraId="447BA994">
            <w:pPr>
              <w:widowControl/>
              <w:jc w:val="left"/>
              <w:rPr>
                <w:rFonts w:ascii="Times New Roman" w:hAnsi="Times New Roman" w:eastAsia="宋体"/>
                <w:kern w:val="0"/>
                <w:sz w:val="20"/>
                <w:szCs w:val="20"/>
              </w:rPr>
            </w:pPr>
          </w:p>
        </w:tc>
        <w:tc>
          <w:tcPr>
            <w:tcW w:w="954" w:type="pct"/>
            <w:noWrap/>
            <w:vAlign w:val="center"/>
          </w:tcPr>
          <w:p w14:paraId="56F1F931">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596A3DE">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61CE64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371E6A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C0DE13D">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27AC21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71BD9A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5B2A3F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7525FB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02E657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A1B3930">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76A163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729489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610727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1DC848C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65EFB0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87791D8">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1E346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42A31A4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49CE8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1176A0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F38D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704</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6B6F79C">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6FA7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val="0"/>
                <w:bCs/>
                <w:i w:val="0"/>
                <w:iCs w:val="0"/>
                <w:color w:val="000000"/>
                <w:kern w:val="0"/>
                <w:sz w:val="18"/>
                <w:szCs w:val="18"/>
                <w:u w:val="none"/>
                <w:lang w:val="en-US" w:eastAsia="zh-CN" w:bidi="ar"/>
              </w:rPr>
              <w:t>新余市渝水区文化广电旅游局</w:t>
            </w:r>
            <w:r>
              <w:rPr>
                <w:rFonts w:hint="eastAsia" w:asciiTheme="minorEastAsia" w:hAnsiTheme="minorEastAsia" w:eastAsiaTheme="minorEastAsia" w:cstheme="minorEastAsia"/>
                <w:b w:val="0"/>
                <w:bCs/>
                <w:i w:val="0"/>
                <w:iCs w:val="0"/>
                <w:color w:val="000000"/>
                <w:kern w:val="0"/>
                <w:sz w:val="18"/>
                <w:szCs w:val="18"/>
                <w:u w:val="none"/>
                <w:lang w:val="en-US" w:eastAsia="zh-CN" w:bidi="ar"/>
              </w:rPr>
              <w:t>（部门）</w:t>
            </w:r>
          </w:p>
        </w:tc>
      </w:tr>
      <w:tr w14:paraId="5B98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18DFF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5"/>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9EF6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对基层文化活动中心进行提升改造，至少改造20个，成本不超过500万元，改造及时、合格；重大文旅活动开展不少于4次，成本不超过500万元，活动及时、成功开展；全年督查文旅市场不少于48次，成本不超过284.52万元，及时督查，确保重大事故发生率为0；对至少8个古建筑进行修缮，成本不超过200万元，修缮及时，验收合格；群众精神文化生活水平提高，文旅品牌影响力提升，群众满意度达90%及以上，文保单位满意度达90%及以上。在职人员控制率小于等于120%，公用经费控制率小于等于100%，三公经费控制率小于等于100%，预算支出标准执行率大于等于80%。</w:t>
            </w:r>
          </w:p>
        </w:tc>
      </w:tr>
      <w:tr w14:paraId="290C3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9F49608">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2295D">
            <w:pPr>
              <w:jc w:val="center"/>
              <w:rPr>
                <w:rFonts w:hint="eastAsia" w:asciiTheme="minorEastAsia" w:hAnsiTheme="minorEastAsia" w:eastAsiaTheme="minorEastAsia" w:cstheme="minorEastAsia"/>
                <w:b w:val="0"/>
                <w:i w:val="0"/>
                <w:iCs w:val="0"/>
                <w:color w:val="000000"/>
                <w:sz w:val="18"/>
                <w:szCs w:val="18"/>
                <w:u w:val="none"/>
              </w:rPr>
            </w:pPr>
          </w:p>
        </w:tc>
      </w:tr>
      <w:tr w14:paraId="487E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1433AC8">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94C7B">
            <w:pPr>
              <w:jc w:val="center"/>
              <w:rPr>
                <w:rFonts w:hint="eastAsia" w:asciiTheme="minorEastAsia" w:hAnsiTheme="minorEastAsia" w:eastAsiaTheme="minorEastAsia" w:cstheme="minorEastAsia"/>
                <w:b w:val="0"/>
                <w:i w:val="0"/>
                <w:iCs w:val="0"/>
                <w:color w:val="000000"/>
                <w:sz w:val="18"/>
                <w:szCs w:val="18"/>
                <w:u w:val="none"/>
              </w:rPr>
            </w:pPr>
          </w:p>
        </w:tc>
      </w:tr>
      <w:tr w14:paraId="5B65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A6D356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E09DAE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C9542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0860B7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7709A7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A11395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2AD7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D942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256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F35F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重大文旅活动开展场次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72E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2FB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BC0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场</w:t>
            </w:r>
          </w:p>
        </w:tc>
      </w:tr>
      <w:tr w14:paraId="6A7D0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4DAE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FB9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6DA5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文旅市场督查次数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049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F25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D58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05902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D1B2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C1C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3CB1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基层文化服务中心提升改造数量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038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570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B33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家</w:t>
            </w:r>
          </w:p>
        </w:tc>
      </w:tr>
      <w:tr w14:paraId="2C46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63EE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4D6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AA7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古建筑修缮数量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ECE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D4D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0DF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3B5A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4A6F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02B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0BA1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古建筑修缮验收合格率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502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CDB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B30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53C1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D07E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98D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919F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文旅市场重大事故发生率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1C8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ABF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11E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A90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9BC4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FC4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F891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基层文化活动中心改造合格率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6BD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00A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448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3A5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EB4D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592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AB4F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重大文旅活动开展成功率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685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735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2F3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A23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3E54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58E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1737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古建筑修缮及时率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52A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4E6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3B8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451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3CE2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37C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2CDD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基层文化服务中心改造提升及时率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DD0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C19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488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015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1A86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597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D68C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文旅市场督查及时率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E1D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A4E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39F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FEA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53E5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C6E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91D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重大文旅活动开展及时率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AB8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B94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A57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C5A5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DF33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A89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A8D4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文旅活动开展成本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BD6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426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564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w:t>
            </w:r>
          </w:p>
        </w:tc>
      </w:tr>
      <w:tr w14:paraId="5E51C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AFA7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840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F4D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文旅市场管理成本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A64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AA6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284.52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255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w:t>
            </w:r>
          </w:p>
        </w:tc>
      </w:tr>
      <w:tr w14:paraId="03BC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4874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477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B29C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古建筑修缮成本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2DA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755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EA3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w:t>
            </w:r>
          </w:p>
        </w:tc>
      </w:tr>
      <w:tr w14:paraId="7C6A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6733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464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DB8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基层文化服务中心改造成本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BC8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A0C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469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w:t>
            </w:r>
          </w:p>
        </w:tc>
      </w:tr>
      <w:tr w14:paraId="329B3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4ADE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27B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EC79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D16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554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120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AA6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E4C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4C06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79C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F4B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AD8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B05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3B0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5F8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EEE3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ACB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9475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FEB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B56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16E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95F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B0DB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482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C3B8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CE8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0A1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68F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D11C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84FA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3A2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D316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群众精神文化生活水平提高</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201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652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提高</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889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63A8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5F0C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183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B0DF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文旅品牌影响力提升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600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CCE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得到提升</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14B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2B0C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51FE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713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7F2E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群众满意度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5B6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BE9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8BB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70E1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4C75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C55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5E3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文保单位满意度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093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626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FC1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3CA6198B">
      <w:pPr>
        <w:rPr>
          <w:rFonts w:hint="eastAsia"/>
          <w:lang w:eastAsia="zh-CN"/>
        </w:rPr>
        <w:sectPr>
          <w:pgSz w:w="11906" w:h="16838"/>
          <w:pgMar w:top="720" w:right="720" w:bottom="720" w:left="720" w:header="851" w:footer="992" w:gutter="0"/>
          <w:cols w:space="425" w:num="1"/>
          <w:docGrid w:type="lines" w:linePitch="312" w:charSpace="0"/>
        </w:sectPr>
      </w:pPr>
    </w:p>
    <w:p w14:paraId="04E4A0E0">
      <w:pPr>
        <w:pStyle w:val="17"/>
        <w:numPr>
          <w:ilvl w:val="0"/>
          <w:numId w:val="0"/>
        </w:numPr>
        <w:bidi w:val="0"/>
        <w:ind w:left="420" w:leftChars="200"/>
        <w:jc w:val="center"/>
        <w:rPr>
          <w:rFonts w:hint="eastAsia"/>
          <w:lang w:eastAsia="zh-CN"/>
        </w:rPr>
      </w:pPr>
      <w:r>
        <w:rPr>
          <w:rFonts w:hint="eastAsia"/>
          <w:lang w:val="en-US" w:eastAsia="zh-CN"/>
        </w:rPr>
        <w:t>第三部分  新余市渝水区文化广电旅游局（部门）2026年部门预算情况说明</w:t>
      </w:r>
    </w:p>
    <w:p w14:paraId="28C5F76F">
      <w:pPr>
        <w:widowControl/>
        <w:spacing w:line="580" w:lineRule="exact"/>
        <w:jc w:val="center"/>
        <w:rPr>
          <w:rFonts w:ascii="仿宋_GB2312" w:eastAsia="仿宋_GB2312"/>
          <w:b/>
          <w:sz w:val="32"/>
          <w:szCs w:val="30"/>
        </w:rPr>
      </w:pPr>
    </w:p>
    <w:p w14:paraId="2BDF3D07">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7F6C975C">
      <w:pPr>
        <w:pStyle w:val="19"/>
        <w:numPr>
          <w:ilvl w:val="0"/>
          <w:numId w:val="0"/>
        </w:numPr>
        <w:bidi w:val="0"/>
        <w:ind w:left="420" w:leftChars="200"/>
        <w:rPr>
          <w:rFonts w:hint="eastAsia"/>
        </w:rPr>
      </w:pPr>
      <w:r>
        <w:rPr>
          <w:rFonts w:hint="eastAsia"/>
        </w:rPr>
        <w:t xml:space="preserve"> (一)收入预算情况</w:t>
      </w:r>
    </w:p>
    <w:p w14:paraId="0C2B757E">
      <w:pPr>
        <w:pStyle w:val="18"/>
        <w:bidi w:val="0"/>
        <w:rPr>
          <w:rFonts w:hint="eastAsia"/>
        </w:rPr>
      </w:pPr>
      <w:r>
        <w:rPr>
          <w:rFonts w:hint="eastAsia"/>
          <w:lang w:eastAsia="zh-CN"/>
        </w:rPr>
        <w:t>2026</w:t>
      </w:r>
      <w:r>
        <w:rPr>
          <w:rFonts w:hint="eastAsia"/>
        </w:rPr>
        <w:t>年</w:t>
      </w:r>
      <w:r>
        <w:rPr>
          <w:rFonts w:hint="eastAsia"/>
          <w:lang w:eastAsia="zh-CN"/>
        </w:rPr>
        <w:t>新余市渝水区文化广电旅游局（部门）</w:t>
      </w:r>
      <w:r>
        <w:rPr>
          <w:rFonts w:hint="eastAsia"/>
        </w:rPr>
        <w:t>收入预算总额为1484.52万元</w:t>
      </w:r>
      <w:r>
        <w:rPr>
          <w:rFonts w:hint="eastAsia"/>
          <w:lang w:eastAsia="zh-CN"/>
        </w:rPr>
        <w:t>，</w:t>
      </w:r>
      <w:r>
        <w:rPr>
          <w:rFonts w:hint="eastAsia"/>
        </w:rPr>
        <w:t>较上年预算安排增加</w:t>
      </w:r>
      <w:r>
        <w:rPr>
          <w:rFonts w:hint="eastAsia" w:ascii="仿宋_GB2312" w:hAnsi="Times New Roman" w:eastAsia="仿宋_GB2312" w:cs="Times New Roman"/>
          <w:sz w:val="32"/>
          <w:szCs w:val="30"/>
          <w:lang w:val="en-US" w:eastAsia="zh-CN"/>
        </w:rPr>
        <w:t>318.94</w:t>
      </w:r>
      <w:r>
        <w:rPr>
          <w:rFonts w:hint="eastAsia"/>
        </w:rPr>
        <w:t>万元</w:t>
      </w:r>
      <w:r>
        <w:rPr>
          <w:rFonts w:hint="eastAsia"/>
          <w:lang w:eastAsia="zh-CN"/>
        </w:rPr>
        <w:t>；本年收入合计736.04万元，较上年预算安排增加</w:t>
      </w:r>
      <w:r>
        <w:rPr>
          <w:rFonts w:hint="eastAsia" w:ascii="仿宋_GB2312" w:hAnsi="Times New Roman" w:eastAsia="仿宋_GB2312" w:cs="Times New Roman"/>
          <w:sz w:val="32"/>
          <w:szCs w:val="30"/>
          <w:lang w:val="en-US" w:eastAsia="zh-CN"/>
        </w:rPr>
        <w:t>10.23</w:t>
      </w:r>
      <w:r>
        <w:rPr>
          <w:rFonts w:hint="eastAsia"/>
          <w:lang w:eastAsia="zh-CN"/>
        </w:rPr>
        <w:t>万元；包括：财政拨款收入736.04万元，较上年预算安排增加</w:t>
      </w:r>
      <w:r>
        <w:rPr>
          <w:rFonts w:hint="eastAsia" w:ascii="仿宋_GB2312" w:hAnsi="Times New Roman" w:eastAsia="仿宋_GB2312" w:cs="Times New Roman"/>
          <w:sz w:val="32"/>
          <w:szCs w:val="30"/>
          <w:lang w:val="en-US" w:eastAsia="zh-CN"/>
        </w:rPr>
        <w:t>10.23</w:t>
      </w:r>
      <w:r>
        <w:rPr>
          <w:rFonts w:hint="eastAsia"/>
          <w:lang w:eastAsia="zh-CN"/>
        </w:rPr>
        <w:t>万元。上年结转748.48万元，较上年预算安排增加</w:t>
      </w:r>
      <w:r>
        <w:rPr>
          <w:rFonts w:hint="eastAsia" w:ascii="仿宋_GB2312" w:hAnsi="Times New Roman" w:eastAsia="仿宋_GB2312" w:cs="Times New Roman"/>
          <w:sz w:val="32"/>
          <w:szCs w:val="30"/>
          <w:lang w:val="en-US" w:eastAsia="zh-CN"/>
        </w:rPr>
        <w:t>308.71</w:t>
      </w:r>
      <w:r>
        <w:rPr>
          <w:rFonts w:hint="eastAsia"/>
          <w:lang w:eastAsia="zh-CN"/>
        </w:rPr>
        <w:t>万元。</w:t>
      </w:r>
    </w:p>
    <w:p w14:paraId="3E394BF1">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107240DA">
      <w:pPr>
        <w:pStyle w:val="18"/>
        <w:bidi w:val="0"/>
        <w:rPr>
          <w:rFonts w:hint="eastAsia"/>
        </w:rPr>
      </w:pPr>
      <w:r>
        <w:rPr>
          <w:rFonts w:hint="eastAsia"/>
          <w:lang w:eastAsia="zh-CN"/>
        </w:rPr>
        <w:t>2026</w:t>
      </w:r>
      <w:r>
        <w:rPr>
          <w:rFonts w:hint="eastAsia"/>
        </w:rPr>
        <w:t>年</w:t>
      </w:r>
      <w:r>
        <w:rPr>
          <w:rFonts w:hint="eastAsia"/>
          <w:lang w:eastAsia="zh-CN"/>
        </w:rPr>
        <w:t>新余市渝水区文化广电旅游局（部门）</w:t>
      </w:r>
      <w:r>
        <w:rPr>
          <w:rFonts w:hint="eastAsia"/>
        </w:rPr>
        <w:t>支出预算总额为1484.52万元</w:t>
      </w:r>
      <w:r>
        <w:rPr>
          <w:rFonts w:hint="eastAsia"/>
          <w:lang w:eastAsia="zh-CN"/>
        </w:rPr>
        <w:t>，</w:t>
      </w:r>
      <w:r>
        <w:rPr>
          <w:rFonts w:hint="eastAsia"/>
        </w:rPr>
        <w:t>较上年预算安排增加</w:t>
      </w:r>
      <w:r>
        <w:rPr>
          <w:rFonts w:hint="eastAsia" w:ascii="仿宋_GB2312" w:hAnsi="Times New Roman" w:eastAsia="仿宋_GB2312" w:cs="Times New Roman"/>
          <w:sz w:val="32"/>
          <w:szCs w:val="30"/>
          <w:lang w:val="en-US" w:eastAsia="zh-CN"/>
        </w:rPr>
        <w:t>318.94</w:t>
      </w:r>
      <w:r>
        <w:rPr>
          <w:rFonts w:hint="eastAsia"/>
        </w:rPr>
        <w:t xml:space="preserve">万元。 </w:t>
      </w:r>
    </w:p>
    <w:p w14:paraId="5F165C67">
      <w:pPr>
        <w:pStyle w:val="18"/>
        <w:bidi w:val="0"/>
        <w:rPr>
          <w:rFonts w:hint="eastAsia"/>
        </w:rPr>
      </w:pPr>
      <w:r>
        <w:rPr>
          <w:rFonts w:hint="eastAsia"/>
        </w:rPr>
        <w:t>按支出项目类别划分：基本支出704.04万元</w:t>
      </w:r>
      <w:r>
        <w:rPr>
          <w:rFonts w:hint="eastAsia"/>
          <w:lang w:eastAsia="zh-CN"/>
        </w:rPr>
        <w:t>，</w:t>
      </w:r>
      <w:r>
        <w:rPr>
          <w:rFonts w:hint="eastAsia"/>
        </w:rPr>
        <w:t>较上年预算安排增加</w:t>
      </w:r>
      <w:r>
        <w:rPr>
          <w:rFonts w:hint="eastAsia"/>
          <w:lang w:val="en-US" w:eastAsia="zh-CN"/>
        </w:rPr>
        <w:t>32.23</w:t>
      </w:r>
      <w:r>
        <w:rPr>
          <w:rFonts w:hint="eastAsia"/>
        </w:rPr>
        <w:t>万元</w:t>
      </w:r>
      <w:r>
        <w:rPr>
          <w:rFonts w:hint="eastAsia"/>
          <w:lang w:eastAsia="zh-CN"/>
        </w:rPr>
        <w:t>；</w:t>
      </w:r>
      <w:r>
        <w:rPr>
          <w:rFonts w:hint="eastAsia"/>
        </w:rPr>
        <w:t>项目支出780.48万元</w:t>
      </w:r>
      <w:r>
        <w:rPr>
          <w:rFonts w:hint="eastAsia"/>
          <w:lang w:eastAsia="zh-CN"/>
        </w:rPr>
        <w:t>，</w:t>
      </w:r>
      <w:r>
        <w:rPr>
          <w:rFonts w:hint="eastAsia"/>
        </w:rPr>
        <w:t>较上年预算安排增加286.71‬万元。</w:t>
      </w:r>
    </w:p>
    <w:p w14:paraId="39CB3E08">
      <w:pPr>
        <w:pStyle w:val="18"/>
        <w:bidi w:val="0"/>
        <w:rPr>
          <w:rFonts w:hint="eastAsia"/>
        </w:rPr>
      </w:pPr>
      <w:r>
        <w:rPr>
          <w:rFonts w:hint="eastAsia"/>
        </w:rPr>
        <w:t>按支出功能科目划分：文化旅游体育与传媒支出882.22万元，较上年预算安排增加24.72万元；社会保障和就业支出202.92万元，较上年预算安排减少</w:t>
      </w:r>
      <w:r>
        <w:rPr>
          <w:rFonts w:hint="eastAsia"/>
          <w:lang w:val="en-US" w:eastAsia="zh-CN"/>
        </w:rPr>
        <w:t>0.20</w:t>
      </w:r>
      <w:r>
        <w:rPr>
          <w:rFonts w:hint="eastAsia"/>
        </w:rPr>
        <w:t>万元；卫生健康支出25.82万元，较上年预算安排增加25.82万元；农林水支出3.00万元，较上年预算安排增加</w:t>
      </w:r>
      <w:r>
        <w:rPr>
          <w:rFonts w:hint="eastAsia"/>
          <w:lang w:val="en-US" w:eastAsia="zh-CN"/>
        </w:rPr>
        <w:t>3</w:t>
      </w:r>
      <w:r>
        <w:rPr>
          <w:rFonts w:hint="eastAsia"/>
        </w:rPr>
        <w:t>万元；住房保障支出27.68万元，较上年预算安排增加2.72‬万元；其他支出342.88万元，较上年预算安排增加262.88万元。</w:t>
      </w:r>
    </w:p>
    <w:p w14:paraId="47744388">
      <w:pPr>
        <w:pStyle w:val="18"/>
        <w:bidi w:val="0"/>
        <w:rPr>
          <w:rFonts w:hint="eastAsia"/>
        </w:rPr>
      </w:pPr>
      <w:r>
        <w:rPr>
          <w:rFonts w:hint="eastAsia"/>
        </w:rPr>
        <w:t>按支出经济分类划分：工资福利支出548.91万元，较上年预算安排增加37.4‬万元；商品和服务支出473.60万元，较上年预算安排减少</w:t>
      </w:r>
      <w:r>
        <w:rPr>
          <w:rFonts w:hint="eastAsia"/>
          <w:lang w:val="en-US" w:eastAsia="zh-CN"/>
        </w:rPr>
        <w:t>36.97</w:t>
      </w:r>
      <w:r>
        <w:rPr>
          <w:rFonts w:hint="eastAsia"/>
        </w:rPr>
        <w:t>万元；对个人和家庭的补助113.13万元，较上年预算安排减少6.43万元；资本性支出348.88万元，较上年预算安排增加</w:t>
      </w:r>
      <w:r>
        <w:rPr>
          <w:rFonts w:hint="eastAsia"/>
          <w:lang w:val="en-US" w:eastAsia="zh-CN"/>
        </w:rPr>
        <w:t>341.88</w:t>
      </w:r>
      <w:r>
        <w:rPr>
          <w:rFonts w:hint="eastAsia"/>
        </w:rPr>
        <w:t>万元。</w:t>
      </w:r>
    </w:p>
    <w:p w14:paraId="09C88B37">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46F5DA1D">
      <w:pPr>
        <w:pStyle w:val="18"/>
        <w:bidi w:val="0"/>
        <w:rPr>
          <w:rFonts w:hint="eastAsia"/>
        </w:rPr>
      </w:pPr>
      <w:r>
        <w:rPr>
          <w:rFonts w:hint="eastAsia"/>
          <w:lang w:eastAsia="zh-CN"/>
        </w:rPr>
        <w:t>2026</w:t>
      </w:r>
      <w:r>
        <w:rPr>
          <w:rFonts w:hint="eastAsia"/>
        </w:rPr>
        <w:t>年</w:t>
      </w:r>
      <w:r>
        <w:rPr>
          <w:rFonts w:hint="eastAsia"/>
          <w:lang w:eastAsia="zh-CN"/>
        </w:rPr>
        <w:t>新余市渝水区文化广电旅游局（部门）</w:t>
      </w:r>
      <w:r>
        <w:rPr>
          <w:rFonts w:hint="eastAsia"/>
        </w:rPr>
        <w:t>财政拨款支出预算总额1484.52万元,较上年预算安排增加</w:t>
      </w:r>
      <w:r>
        <w:rPr>
          <w:rFonts w:hint="eastAsia" w:ascii="仿宋_GB2312" w:hAnsi="Times New Roman" w:eastAsia="仿宋_GB2312" w:cs="Times New Roman"/>
          <w:sz w:val="32"/>
          <w:szCs w:val="30"/>
          <w:lang w:val="en-US" w:eastAsia="zh-CN"/>
        </w:rPr>
        <w:t>318.94</w:t>
      </w:r>
      <w:r>
        <w:rPr>
          <w:rFonts w:hint="eastAsia"/>
        </w:rPr>
        <w:t>万元。</w:t>
      </w:r>
    </w:p>
    <w:p w14:paraId="63BECD69">
      <w:pPr>
        <w:pStyle w:val="18"/>
        <w:bidi w:val="0"/>
        <w:rPr>
          <w:rFonts w:hint="eastAsia"/>
        </w:rPr>
      </w:pPr>
      <w:r>
        <w:rPr>
          <w:rFonts w:hint="eastAsia"/>
        </w:rPr>
        <w:t>按支出功能科目划分：文化旅游体育与传媒支出882.22万元，社会保障和就业支出202.92万元，卫生健康支出25.82万元，农林水支出3.00万元，住房保障支出27.68万元，其他支出342.88万元。</w:t>
      </w:r>
    </w:p>
    <w:p w14:paraId="2AC5E802">
      <w:pPr>
        <w:pStyle w:val="18"/>
        <w:bidi w:val="0"/>
        <w:rPr>
          <w:rFonts w:hint="eastAsia"/>
        </w:rPr>
      </w:pPr>
      <w:r>
        <w:rPr>
          <w:rFonts w:hint="eastAsia"/>
        </w:rPr>
        <w:t>按支出项目类别划分：基本支出704.04万元,项目支出780.48万元。</w:t>
      </w:r>
    </w:p>
    <w:p w14:paraId="2A5C6724">
      <w:pPr>
        <w:pStyle w:val="18"/>
        <w:bidi w:val="0"/>
        <w:rPr>
          <w:rFonts w:hint="eastAsia"/>
        </w:rPr>
      </w:pPr>
      <w:r>
        <w:rPr>
          <w:rFonts w:hint="eastAsia"/>
        </w:rPr>
        <w:t>按支</w:t>
      </w:r>
      <w:r>
        <w:rPr>
          <w:rFonts w:hint="eastAsia"/>
          <w:lang w:val="en-US" w:eastAsia="zh-CN"/>
        </w:rPr>
        <w:t>出经济分类</w:t>
      </w:r>
      <w:r>
        <w:rPr>
          <w:rFonts w:hint="eastAsia"/>
        </w:rPr>
        <w:t>划分：工资福利支出548.91万元，商品和服务支出473.60万元，对个人和家庭的补助113.13万元，资本性支出348.88万元。</w:t>
      </w:r>
    </w:p>
    <w:p w14:paraId="0BE56D04">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6676C148">
      <w:pPr>
        <w:pStyle w:val="18"/>
        <w:bidi w:val="0"/>
        <w:rPr>
          <w:rFonts w:hint="eastAsia"/>
          <w:lang w:eastAsia="zh-CN"/>
        </w:rPr>
      </w:pPr>
      <w:r>
        <w:rPr>
          <w:rFonts w:hint="eastAsia"/>
          <w:lang w:eastAsia="zh-CN"/>
        </w:rPr>
        <w:t>2026</w:t>
      </w:r>
      <w:r>
        <w:rPr>
          <w:rFonts w:hint="eastAsia"/>
        </w:rPr>
        <w:t>年</w:t>
      </w:r>
      <w:r>
        <w:rPr>
          <w:rFonts w:hint="eastAsia"/>
          <w:lang w:eastAsia="zh-CN"/>
        </w:rPr>
        <w:t>新余市渝水区文化广电旅游局（部门）政府性基金支出预算总额</w:t>
      </w:r>
      <w:r>
        <w:rPr>
          <w:rFonts w:hint="eastAsia"/>
          <w:lang w:val="en-US" w:eastAsia="zh-CN"/>
        </w:rPr>
        <w:t>342.88</w:t>
      </w:r>
      <w:r>
        <w:rPr>
          <w:rFonts w:hint="eastAsia"/>
          <w:lang w:eastAsia="zh-CN"/>
        </w:rPr>
        <w:t>万元,较上年预算安排增加</w:t>
      </w:r>
      <w:r>
        <w:rPr>
          <w:rFonts w:hint="eastAsia"/>
          <w:lang w:val="en-US" w:eastAsia="zh-CN"/>
        </w:rPr>
        <w:t>342.88</w:t>
      </w:r>
      <w:r>
        <w:rPr>
          <w:rFonts w:hint="eastAsia"/>
          <w:lang w:eastAsia="zh-CN"/>
        </w:rPr>
        <w:t>万元。</w:t>
      </w:r>
    </w:p>
    <w:p w14:paraId="53EFC7DB">
      <w:pPr>
        <w:pStyle w:val="18"/>
        <w:bidi w:val="0"/>
        <w:rPr>
          <w:rFonts w:hint="eastAsia"/>
        </w:rPr>
      </w:pPr>
      <w:r>
        <w:rPr>
          <w:rFonts w:hint="eastAsia"/>
        </w:rPr>
        <w:t>按支出项目类别划分：其他支出</w:t>
      </w:r>
      <w:r>
        <w:rPr>
          <w:rFonts w:hint="eastAsia"/>
          <w:lang w:val="en-US" w:eastAsia="zh-CN"/>
        </w:rPr>
        <w:t>342.88</w:t>
      </w:r>
      <w:r>
        <w:rPr>
          <w:rFonts w:hint="eastAsia"/>
          <w:lang w:eastAsia="zh-CN"/>
        </w:rPr>
        <w:t>万元</w:t>
      </w:r>
      <w:r>
        <w:rPr>
          <w:rFonts w:hint="eastAsia"/>
        </w:rPr>
        <w:t>。</w:t>
      </w:r>
    </w:p>
    <w:p w14:paraId="218A88F9">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划分：资本性支出</w:t>
      </w:r>
      <w:r>
        <w:rPr>
          <w:rFonts w:hint="eastAsia"/>
          <w:lang w:val="en-US" w:eastAsia="zh-CN"/>
        </w:rPr>
        <w:t>342.88</w:t>
      </w:r>
      <w:r>
        <w:rPr>
          <w:rFonts w:hint="eastAsia"/>
        </w:rPr>
        <w:t>万元</w:t>
      </w:r>
      <w:r>
        <w:rPr>
          <w:rFonts w:hint="eastAsia"/>
          <w:lang w:eastAsia="zh-CN"/>
        </w:rPr>
        <w:t>。</w:t>
      </w:r>
    </w:p>
    <w:p w14:paraId="75DC6B3E">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7863BD89">
      <w:pPr>
        <w:pStyle w:val="18"/>
        <w:bidi w:val="0"/>
        <w:rPr>
          <w:rFonts w:hint="eastAsia" w:eastAsia="仿宋_GB2312"/>
          <w:lang w:eastAsia="zh-CN"/>
        </w:rPr>
      </w:pPr>
      <w:r>
        <w:rPr>
          <w:rFonts w:hint="eastAsia"/>
        </w:rPr>
        <w:t>本部门没有使用国有资本经营预算拨款安排的支出</w:t>
      </w:r>
      <w:r>
        <w:rPr>
          <w:rFonts w:hint="eastAsia"/>
          <w:lang w:eastAsia="zh-CN"/>
        </w:rPr>
        <w:t>。</w:t>
      </w:r>
    </w:p>
    <w:p w14:paraId="6FD5EFFE">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2F45319E">
      <w:pPr>
        <w:pStyle w:val="18"/>
        <w:bidi w:val="0"/>
        <w:rPr>
          <w:rFonts w:ascii="Adobe 仿宋 Std R" w:hAnsi="Adobe 仿宋 Std R" w:eastAsia="Adobe 仿宋 Std R"/>
          <w:sz w:val="32"/>
          <w:szCs w:val="32"/>
        </w:rPr>
      </w:pPr>
      <w:r>
        <w:rPr>
          <w:rFonts w:hint="eastAsia"/>
          <w:lang w:eastAsia="zh-CN"/>
        </w:rPr>
        <w:t>2026</w:t>
      </w:r>
      <w:r>
        <w:rPr>
          <w:rFonts w:hint="eastAsia"/>
        </w:rPr>
        <w:t>年部门机关运行费预算</w:t>
      </w:r>
      <w:r>
        <w:rPr>
          <w:rFonts w:hint="eastAsia"/>
          <w:lang w:val="en-US" w:eastAsia="zh-CN"/>
        </w:rPr>
        <w:t>42</w:t>
      </w:r>
      <w:r>
        <w:rPr>
          <w:rFonts w:hint="eastAsia"/>
        </w:rPr>
        <w:t>万元，比2025年预算增加</w:t>
      </w:r>
      <w:r>
        <w:rPr>
          <w:rFonts w:hint="eastAsia"/>
          <w:lang w:val="en-US" w:eastAsia="zh-CN"/>
        </w:rPr>
        <w:t>1.27</w:t>
      </w:r>
      <w:r>
        <w:rPr>
          <w:rFonts w:hint="eastAsia"/>
        </w:rPr>
        <w:t>万元，增长</w:t>
      </w:r>
      <w:r>
        <w:rPr>
          <w:rFonts w:hint="eastAsia"/>
          <w:lang w:val="en-US" w:eastAsia="zh-CN"/>
        </w:rPr>
        <w:t>3.12</w:t>
      </w:r>
      <w:r>
        <w:rPr>
          <w:rFonts w:hint="eastAsia"/>
        </w:rPr>
        <w:t>%。</w:t>
      </w:r>
    </w:p>
    <w:p w14:paraId="645F9E7A">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1CDCF1EF">
      <w:pPr>
        <w:pStyle w:val="18"/>
        <w:bidi w:val="0"/>
        <w:rPr>
          <w:rFonts w:hint="eastAsia"/>
          <w:lang w:eastAsia="zh-CN"/>
        </w:rPr>
      </w:pPr>
      <w:r>
        <w:rPr>
          <w:rFonts w:hint="eastAsia"/>
          <w:lang w:eastAsia="zh-CN"/>
        </w:rPr>
        <w:t>2026年部门所属各单位政府采购总额116.19万元,其中: 政府采购货物预算9.38万元, 政府采购工程预算106.81万元, 政府采购服务预算0.00万元。</w:t>
      </w:r>
    </w:p>
    <w:p w14:paraId="671C08CB">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4A752AD4">
      <w:pPr>
        <w:pStyle w:val="18"/>
        <w:bidi w:val="0"/>
        <w:rPr>
          <w:rFonts w:hint="eastAsia"/>
          <w:lang w:eastAsia="zh-CN"/>
        </w:rPr>
      </w:pPr>
      <w:r>
        <w:rPr>
          <w:rFonts w:hint="eastAsia"/>
          <w:lang w:eastAsia="zh-CN"/>
        </w:rPr>
        <w:t>截至2025年7月31日, 部门共有车辆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34552FDE">
      <w:pPr>
        <w:pStyle w:val="18"/>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辆，安排购置单位价值200万元以上大型设备具体为：</w:t>
      </w:r>
      <w:r>
        <w:rPr>
          <w:rFonts w:hint="eastAsia"/>
          <w:u w:val="single"/>
        </w:rPr>
        <w:t>_</w:t>
      </w:r>
      <w:r>
        <w:rPr>
          <w:rFonts w:hint="eastAsia"/>
          <w:u w:val="single"/>
          <w:lang w:val="en-US" w:eastAsia="zh-CN"/>
        </w:rPr>
        <w:t>无</w:t>
      </w:r>
      <w:r>
        <w:rPr>
          <w:rFonts w:hint="eastAsia"/>
          <w:u w:val="single"/>
        </w:rPr>
        <w:t>_</w:t>
      </w:r>
      <w:r>
        <w:rPr>
          <w:rFonts w:hint="eastAsia"/>
          <w:lang w:eastAsia="zh-CN"/>
        </w:rPr>
        <w:t>。</w:t>
      </w:r>
    </w:p>
    <w:p w14:paraId="7FC775E0">
      <w:pPr>
        <w:pStyle w:val="19"/>
        <w:numPr>
          <w:ilvl w:val="0"/>
          <w:numId w:val="0"/>
        </w:numPr>
        <w:bidi w:val="0"/>
        <w:ind w:firstLine="643" w:firstLineChars="200"/>
        <w:rPr>
          <w:rFonts w:hint="eastAsia"/>
          <w:lang w:val="en-US" w:eastAsia="zh-CN"/>
        </w:rPr>
      </w:pPr>
      <w:r>
        <w:rPr>
          <w:rFonts w:hint="eastAsia"/>
          <w:lang w:val="en-US" w:eastAsia="zh-CN"/>
        </w:rPr>
        <w:t>(九)文创事业发展_文化和旅游市场管理项目情况说明</w:t>
      </w:r>
    </w:p>
    <w:p w14:paraId="31AF9412">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14:paraId="51451B3E">
      <w:pPr>
        <w:ind w:firstLine="960" w:firstLineChars="300"/>
        <w:rPr>
          <w:rFonts w:hint="eastAsia"/>
          <w:lang w:eastAsia="zh-CN"/>
        </w:rPr>
      </w:pPr>
      <w:r>
        <w:rPr>
          <w:rFonts w:hint="eastAsia" w:ascii="仿宋_GB2312" w:eastAsia="仿宋_GB2312"/>
          <w:sz w:val="32"/>
          <w:szCs w:val="30"/>
        </w:rPr>
        <w:t>保障文旅市场管理日常工作开展，维护文旅市场稳定，加强文旅市场管理，促进文旅事业健康发展，提升全区人民文化生活品质，满足群众不断增长的美好生活需要。</w:t>
      </w:r>
    </w:p>
    <w:p w14:paraId="2C07D90B">
      <w:pPr>
        <w:pStyle w:val="18"/>
        <w:numPr>
          <w:ilvl w:val="0"/>
          <w:numId w:val="3"/>
        </w:numPr>
        <w:bidi w:val="0"/>
        <w:ind w:left="1120" w:leftChars="0" w:firstLine="0" w:firstLineChars="0"/>
        <w:rPr>
          <w:rFonts w:hint="eastAsia"/>
          <w:lang w:eastAsia="zh-CN"/>
        </w:rPr>
      </w:pPr>
      <w:r>
        <w:rPr>
          <w:rFonts w:hint="eastAsia"/>
          <w:lang w:eastAsia="zh-CN"/>
        </w:rPr>
        <w:t>立项依据</w:t>
      </w:r>
    </w:p>
    <w:p w14:paraId="584EB39B">
      <w:pPr>
        <w:numPr>
          <w:ilvl w:val="0"/>
          <w:numId w:val="0"/>
        </w:numPr>
        <w:ind w:firstLine="960" w:firstLineChars="300"/>
        <w:rPr>
          <w:rFonts w:hint="eastAsia"/>
          <w:lang w:eastAsia="zh-CN"/>
        </w:rPr>
      </w:pPr>
      <w:r>
        <w:rPr>
          <w:rFonts w:hint="eastAsia" w:ascii="仿宋_GB2312" w:eastAsia="仿宋_GB2312"/>
          <w:sz w:val="32"/>
          <w:szCs w:val="30"/>
        </w:rPr>
        <w:t>项目根据余办发</w:t>
      </w:r>
      <w:r>
        <w:rPr>
          <w:rFonts w:hint="eastAsia" w:ascii="宋体" w:hAnsi="宋体" w:cs="宋体"/>
          <w:sz w:val="32"/>
          <w:szCs w:val="30"/>
        </w:rPr>
        <w:t>﹝2019﹞</w:t>
      </w:r>
      <w:r>
        <w:rPr>
          <w:rFonts w:hint="eastAsia" w:ascii="仿宋_GB2312" w:eastAsia="仿宋_GB2312"/>
          <w:sz w:val="32"/>
          <w:szCs w:val="30"/>
        </w:rPr>
        <w:t>37号、渝府办发</w:t>
      </w:r>
      <w:r>
        <w:rPr>
          <w:rFonts w:hint="eastAsia" w:ascii="宋体" w:hAnsi="宋体" w:cs="宋体"/>
          <w:sz w:val="32"/>
          <w:szCs w:val="30"/>
        </w:rPr>
        <w:t>﹝2020﹞</w:t>
      </w:r>
      <w:r>
        <w:rPr>
          <w:rFonts w:hint="eastAsia" w:ascii="仿宋_GB2312" w:eastAsia="仿宋_GB2312"/>
          <w:sz w:val="32"/>
          <w:szCs w:val="30"/>
        </w:rPr>
        <w:t>3号等文件精神设立。</w:t>
      </w:r>
    </w:p>
    <w:p w14:paraId="2C35A8A6">
      <w:pPr>
        <w:pStyle w:val="18"/>
        <w:numPr>
          <w:ilvl w:val="0"/>
          <w:numId w:val="3"/>
        </w:numPr>
        <w:bidi w:val="0"/>
        <w:ind w:left="1120" w:leftChars="0" w:firstLine="0" w:firstLineChars="0"/>
        <w:rPr>
          <w:rFonts w:hint="eastAsia"/>
          <w:lang w:eastAsia="zh-CN"/>
        </w:rPr>
      </w:pPr>
      <w:r>
        <w:rPr>
          <w:rFonts w:hint="eastAsia"/>
          <w:lang w:eastAsia="zh-CN"/>
        </w:rPr>
        <w:t>实施主体</w:t>
      </w:r>
    </w:p>
    <w:p w14:paraId="205570DF">
      <w:pPr>
        <w:pStyle w:val="18"/>
        <w:numPr>
          <w:ilvl w:val="0"/>
          <w:numId w:val="0"/>
        </w:numPr>
        <w:bidi w:val="0"/>
        <w:ind w:left="1120" w:leftChars="0"/>
        <w:rPr>
          <w:rFonts w:hint="eastAsia"/>
          <w:lang w:eastAsia="zh-CN"/>
        </w:rPr>
      </w:pPr>
      <w:r>
        <w:rPr>
          <w:rFonts w:hint="eastAsia" w:ascii="仿宋_GB2312" w:hAnsi="仿宋_GB2312" w:eastAsia="仿宋_GB2312" w:cs="仿宋_GB2312"/>
          <w:sz w:val="32"/>
          <w:szCs w:val="32"/>
          <w:lang w:val="en-US" w:eastAsia="zh-CN"/>
        </w:rPr>
        <w:t>新余市渝水区文化广电新闻旅游局。</w:t>
      </w:r>
    </w:p>
    <w:p w14:paraId="78BAD2D1">
      <w:pPr>
        <w:pStyle w:val="18"/>
        <w:bidi w:val="0"/>
        <w:rPr>
          <w:rFonts w:hint="eastAsia"/>
          <w:lang w:eastAsia="zh-CN"/>
        </w:rPr>
      </w:pPr>
      <w:r>
        <w:rPr>
          <w:rFonts w:hint="eastAsia"/>
          <w:lang w:eastAsia="zh-CN"/>
        </w:rPr>
        <w:t xml:space="preserve">   4）实施方案</w:t>
      </w:r>
    </w:p>
    <w:p w14:paraId="22586C71">
      <w:pPr>
        <w:pStyle w:val="18"/>
        <w:bidi w:val="0"/>
        <w:ind w:firstLine="960" w:firstLineChars="300"/>
        <w:rPr>
          <w:rFonts w:hint="eastAsia"/>
          <w:lang w:eastAsia="zh-CN"/>
        </w:rPr>
      </w:pPr>
      <w:r>
        <w:rPr>
          <w:rFonts w:hint="eastAsia"/>
          <w:lang w:eastAsia="zh-CN"/>
        </w:rPr>
        <w:t>文旅市场督导次数≥60次／年，文旅市场法制宣传活动参与率≥95％，文旅市场法制宣传活动举办及时率=100％，文旅市场管理费用≤15万元，文旅环境不断优化，群众满意度≥90％。</w:t>
      </w:r>
    </w:p>
    <w:p w14:paraId="7DEC6F4A">
      <w:pPr>
        <w:pStyle w:val="18"/>
        <w:numPr>
          <w:ilvl w:val="0"/>
          <w:numId w:val="4"/>
        </w:numPr>
        <w:bidi w:val="0"/>
        <w:ind w:left="1120" w:leftChars="0" w:firstLine="0" w:firstLineChars="0"/>
        <w:rPr>
          <w:rFonts w:hint="eastAsia"/>
          <w:lang w:eastAsia="zh-CN"/>
        </w:rPr>
      </w:pPr>
      <w:r>
        <w:rPr>
          <w:rFonts w:hint="eastAsia"/>
          <w:lang w:eastAsia="zh-CN"/>
        </w:rPr>
        <w:t>实施周期</w:t>
      </w:r>
    </w:p>
    <w:p w14:paraId="7CD39226">
      <w:pPr>
        <w:pStyle w:val="18"/>
        <w:numPr>
          <w:ilvl w:val="0"/>
          <w:numId w:val="0"/>
        </w:numPr>
        <w:bidi w:val="0"/>
        <w:ind w:left="1120" w:leftChars="0"/>
        <w:rPr>
          <w:rFonts w:hint="default"/>
          <w:lang w:val="en-US" w:eastAsia="zh-CN"/>
        </w:rPr>
      </w:pPr>
      <w:r>
        <w:rPr>
          <w:rFonts w:hint="eastAsia"/>
          <w:lang w:val="en-US" w:eastAsia="zh-CN"/>
        </w:rPr>
        <w:t>2026年1月1日-2026年12月31日</w:t>
      </w:r>
    </w:p>
    <w:p w14:paraId="2DFEA54B">
      <w:pPr>
        <w:pStyle w:val="18"/>
        <w:bidi w:val="0"/>
        <w:rPr>
          <w:rFonts w:hint="eastAsia"/>
          <w:lang w:eastAsia="zh-CN"/>
        </w:rPr>
      </w:pPr>
      <w:r>
        <w:rPr>
          <w:rFonts w:hint="eastAsia"/>
          <w:lang w:eastAsia="zh-CN"/>
        </w:rPr>
        <w:t xml:space="preserve">   6）年度预算安排</w:t>
      </w:r>
    </w:p>
    <w:p w14:paraId="0F40F4CF">
      <w:pPr>
        <w:pStyle w:val="18"/>
        <w:bidi w:val="0"/>
        <w:rPr>
          <w:rFonts w:hint="default"/>
          <w:lang w:val="en-US" w:eastAsia="zh-CN"/>
        </w:rPr>
      </w:pPr>
      <w:r>
        <w:rPr>
          <w:rFonts w:hint="eastAsia"/>
          <w:lang w:val="en-US" w:eastAsia="zh-CN"/>
        </w:rPr>
        <w:t xml:space="preserve">   15万元</w:t>
      </w:r>
    </w:p>
    <w:p w14:paraId="52882066">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03191737">
      <w:pPr>
        <w:pStyle w:val="18"/>
        <w:bidi w:val="0"/>
        <w:rPr>
          <w:rFonts w:hint="eastAsia"/>
          <w:lang w:eastAsia="zh-CN"/>
        </w:rPr>
      </w:pPr>
      <w:r>
        <w:rPr>
          <w:rFonts w:hint="eastAsia"/>
          <w:lang w:eastAsia="zh-CN"/>
        </w:rPr>
        <w:t>2026年新余市渝水区文化广电旅游局（部门）财政拨款"三公"经费安排9.42万元，其中：</w:t>
      </w:r>
    </w:p>
    <w:p w14:paraId="3E99F685">
      <w:pPr>
        <w:pStyle w:val="18"/>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万元，与上年安排保持一致。</w:t>
      </w:r>
    </w:p>
    <w:p w14:paraId="7E53574D">
      <w:pPr>
        <w:pStyle w:val="18"/>
        <w:bidi w:val="0"/>
        <w:rPr>
          <w:rFonts w:hint="eastAsia"/>
          <w:lang w:eastAsia="zh-CN"/>
        </w:rPr>
      </w:pPr>
      <w:r>
        <w:rPr>
          <w:rFonts w:hint="eastAsia"/>
          <w:lang w:eastAsia="zh-CN"/>
        </w:rPr>
        <w:t>公务接待9.42万元,比上年增（减）</w:t>
      </w:r>
      <w:r>
        <w:rPr>
          <w:rFonts w:hint="eastAsia"/>
          <w:lang w:val="en-US" w:eastAsia="zh-CN"/>
        </w:rPr>
        <w:t>0</w:t>
      </w:r>
      <w:r>
        <w:rPr>
          <w:rFonts w:hint="eastAsia"/>
          <w:lang w:eastAsia="zh-CN"/>
        </w:rPr>
        <w:t>万元，与上年安排保持一致。</w:t>
      </w:r>
    </w:p>
    <w:p w14:paraId="5B62FC23">
      <w:pPr>
        <w:pStyle w:val="18"/>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万元，与上年安排保持一致。</w:t>
      </w:r>
    </w:p>
    <w:p w14:paraId="3CB0F79E">
      <w:pPr>
        <w:pStyle w:val="18"/>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万元，与上年安排保持一致。</w:t>
      </w:r>
    </w:p>
    <w:p w14:paraId="6D578E72">
      <w:pPr>
        <w:rPr>
          <w:rStyle w:val="12"/>
          <w:rFonts w:hint="eastAsia" w:ascii="仿宋" w:hAnsi="仿宋" w:eastAsia="仿宋"/>
          <w:sz w:val="32"/>
          <w:szCs w:val="32"/>
        </w:rPr>
      </w:pPr>
      <w:r>
        <w:rPr>
          <w:rStyle w:val="12"/>
          <w:rFonts w:hint="eastAsia" w:ascii="仿宋" w:hAnsi="仿宋" w:eastAsia="仿宋"/>
          <w:sz w:val="32"/>
          <w:szCs w:val="32"/>
        </w:rPr>
        <w:br w:type="page"/>
      </w:r>
    </w:p>
    <w:p w14:paraId="12800D4A">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6EC769BD">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12B2E0FE">
      <w:pPr>
        <w:pStyle w:val="18"/>
        <w:bidi w:val="0"/>
        <w:rPr>
          <w:rFonts w:hint="eastAsia"/>
          <w:lang w:eastAsia="zh-CN"/>
        </w:rPr>
      </w:pPr>
      <w:r>
        <w:rPr>
          <w:rFonts w:hint="eastAsia"/>
          <w:lang w:eastAsia="zh-CN"/>
        </w:rPr>
        <w:t>各部门结合实际进行解释。</w:t>
      </w:r>
    </w:p>
    <w:p w14:paraId="2776C080">
      <w:pPr>
        <w:pStyle w:val="18"/>
        <w:numPr>
          <w:ilvl w:val="0"/>
          <w:numId w:val="5"/>
        </w:numPr>
        <w:bidi w:val="0"/>
        <w:ind w:left="0" w:leftChars="0" w:firstLine="420" w:firstLineChars="0"/>
        <w:rPr>
          <w:rFonts w:hint="eastAsia"/>
          <w:lang w:eastAsia="zh-CN"/>
        </w:rPr>
      </w:pPr>
      <w:r>
        <w:rPr>
          <w:rFonts w:hint="eastAsia"/>
          <w:lang w:eastAsia="zh-CN"/>
        </w:rPr>
        <w:t>财政拨款：指省级财政当年拨付的资金。</w:t>
      </w:r>
    </w:p>
    <w:p w14:paraId="49FA3CB0">
      <w:pPr>
        <w:pStyle w:val="18"/>
        <w:numPr>
          <w:ilvl w:val="0"/>
          <w:numId w:val="5"/>
        </w:numPr>
        <w:bidi w:val="0"/>
        <w:ind w:left="0" w:leftChars="0" w:firstLine="420" w:firstLineChars="0"/>
        <w:rPr>
          <w:rFonts w:hint="eastAsia"/>
          <w:lang w:eastAsia="zh-CN"/>
        </w:rPr>
      </w:pPr>
      <w:r>
        <w:rPr>
          <w:rFonts w:hint="eastAsia"/>
          <w:lang w:eastAsia="zh-CN"/>
        </w:rPr>
        <w:t>上年结转和结余：填列</w:t>
      </w:r>
      <w:r>
        <w:rPr>
          <w:rFonts w:hint="eastAsia"/>
          <w:lang w:val="en-US" w:eastAsia="zh-CN"/>
        </w:rPr>
        <w:t>2025</w:t>
      </w:r>
      <w:r>
        <w:rPr>
          <w:rFonts w:hint="eastAsia"/>
          <w:lang w:eastAsia="zh-CN"/>
        </w:rPr>
        <w:t>年（上年）全部结转和结余的资金数，包括当年结转结余资金和历年滚存结转结余资金。</w:t>
      </w:r>
    </w:p>
    <w:p w14:paraId="568CB4C7">
      <w:pPr>
        <w:pStyle w:val="17"/>
        <w:numPr>
          <w:ilvl w:val="0"/>
          <w:numId w:val="0"/>
        </w:numPr>
        <w:bidi w:val="0"/>
        <w:ind w:left="420" w:leftChars="200" w:firstLine="321" w:firstLineChars="100"/>
        <w:rPr>
          <w:rFonts w:hint="eastAsia" w:ascii="楷体_GB2312" w:eastAsia="楷体_GB2312"/>
          <w:b/>
          <w:sz w:val="32"/>
          <w:szCs w:val="30"/>
          <w:lang w:eastAsia="zh-CN"/>
        </w:rPr>
      </w:pPr>
      <w:r>
        <w:rPr>
          <w:rFonts w:hint="eastAsia" w:ascii="楷体_GB2312" w:eastAsia="楷体_GB2312"/>
          <w:b/>
          <w:sz w:val="32"/>
          <w:szCs w:val="30"/>
          <w:lang w:eastAsia="zh-CN"/>
        </w:rPr>
        <w:t>二、支出科目</w:t>
      </w:r>
    </w:p>
    <w:p w14:paraId="16F9B9AC">
      <w:pPr>
        <w:pStyle w:val="18"/>
        <w:numPr>
          <w:ilvl w:val="0"/>
          <w:numId w:val="6"/>
        </w:numPr>
        <w:bidi w:val="0"/>
        <w:ind w:left="0" w:leftChars="0" w:firstLine="420" w:firstLineChars="0"/>
        <w:rPr>
          <w:rFonts w:hint="eastAsia"/>
          <w:lang w:eastAsia="zh-CN"/>
        </w:rPr>
      </w:pPr>
      <w:r>
        <w:rPr>
          <w:rFonts w:hint="eastAsia"/>
          <w:lang w:eastAsia="zh-CN"/>
        </w:rPr>
        <w:t>文化旅游体育与传媒（类）文化和旅游（款）行政运行（项）：指反映行政单位（包括实行公务员管理的事业单位）的基本支出。</w:t>
      </w:r>
    </w:p>
    <w:p w14:paraId="4C2EC285">
      <w:pPr>
        <w:pStyle w:val="18"/>
        <w:numPr>
          <w:ilvl w:val="0"/>
          <w:numId w:val="6"/>
        </w:numPr>
        <w:bidi w:val="0"/>
        <w:ind w:left="0" w:leftChars="0" w:firstLine="420" w:firstLineChars="0"/>
        <w:rPr>
          <w:rFonts w:hint="eastAsia"/>
          <w:lang w:eastAsia="zh-CN"/>
        </w:rPr>
      </w:pPr>
      <w:r>
        <w:rPr>
          <w:rFonts w:hint="eastAsia"/>
          <w:lang w:eastAsia="zh-CN"/>
        </w:rPr>
        <w:t>文化旅游体育与传媒（类）文化和旅游（款）图书馆（项）：指反映图书馆的支出。</w:t>
      </w:r>
    </w:p>
    <w:p w14:paraId="7FF5B4D7">
      <w:pPr>
        <w:pStyle w:val="18"/>
        <w:numPr>
          <w:ilvl w:val="0"/>
          <w:numId w:val="6"/>
        </w:numPr>
        <w:bidi w:val="0"/>
        <w:ind w:left="0" w:leftChars="0" w:firstLine="420" w:firstLineChars="0"/>
        <w:rPr>
          <w:rFonts w:hint="eastAsia"/>
          <w:lang w:eastAsia="zh-CN"/>
        </w:rPr>
      </w:pPr>
      <w:r>
        <w:rPr>
          <w:rFonts w:hint="eastAsia"/>
          <w:lang w:eastAsia="zh-CN"/>
        </w:rPr>
        <w:t>文化旅游体育与传媒（类）文化和旅游（款）文化活动（项）：指反映举办大型文化艺术活动的支出。</w:t>
      </w:r>
    </w:p>
    <w:p w14:paraId="7F68FBF6">
      <w:pPr>
        <w:pStyle w:val="18"/>
        <w:numPr>
          <w:ilvl w:val="0"/>
          <w:numId w:val="6"/>
        </w:numPr>
        <w:bidi w:val="0"/>
        <w:ind w:left="0" w:leftChars="0" w:firstLine="420" w:firstLineChars="0"/>
        <w:rPr>
          <w:rFonts w:hint="eastAsia"/>
          <w:lang w:eastAsia="zh-CN"/>
        </w:rPr>
      </w:pPr>
      <w:r>
        <w:rPr>
          <w:rFonts w:hint="eastAsia"/>
          <w:lang w:eastAsia="zh-CN"/>
        </w:rPr>
        <w:t>文化旅游体育与传媒（类）文化和旅游（款）群众文化（项）：指反映群众文化方面的支出,包括基层文化馆(站)、群众艺术馆支出等。</w:t>
      </w:r>
    </w:p>
    <w:p w14:paraId="7CCC0D02">
      <w:pPr>
        <w:pStyle w:val="18"/>
        <w:numPr>
          <w:ilvl w:val="0"/>
          <w:numId w:val="6"/>
        </w:numPr>
        <w:bidi w:val="0"/>
        <w:ind w:left="0" w:leftChars="0" w:firstLine="420" w:firstLineChars="0"/>
        <w:rPr>
          <w:rFonts w:hint="eastAsia"/>
          <w:lang w:eastAsia="zh-CN"/>
        </w:rPr>
      </w:pPr>
      <w:r>
        <w:rPr>
          <w:rFonts w:hint="eastAsia"/>
          <w:lang w:eastAsia="zh-CN"/>
        </w:rPr>
        <w:t>文化旅游体育与传媒（类）文化和旅游（款）文化旅游和市场管理（项）：指反映文化和旅游执法检查等文化旅游市场管理方面的支出。</w:t>
      </w:r>
    </w:p>
    <w:p w14:paraId="0326ADC5">
      <w:pPr>
        <w:pStyle w:val="18"/>
        <w:numPr>
          <w:ilvl w:val="0"/>
          <w:numId w:val="6"/>
        </w:numPr>
        <w:bidi w:val="0"/>
        <w:ind w:left="0" w:leftChars="0" w:firstLine="420" w:firstLineChars="0"/>
        <w:rPr>
          <w:rFonts w:hint="eastAsia"/>
          <w:lang w:eastAsia="zh-CN"/>
        </w:rPr>
      </w:pPr>
      <w:r>
        <w:rPr>
          <w:rFonts w:hint="eastAsia"/>
          <w:lang w:eastAsia="zh-CN"/>
        </w:rPr>
        <w:t>住房保障支出（类）住房改革支出（款）住房公积金（项）：指反映行政事业单位按人力资源和社会保障部、财政部规定的基本工作和津贴补贴以及规定比例为职工缴纳的住房公积金。</w:t>
      </w:r>
    </w:p>
    <w:p w14:paraId="7444CE8D">
      <w:pPr>
        <w:pStyle w:val="18"/>
        <w:numPr>
          <w:ilvl w:val="0"/>
          <w:numId w:val="6"/>
        </w:numPr>
        <w:bidi w:val="0"/>
        <w:ind w:left="0" w:leftChars="0" w:firstLine="420" w:firstLineChars="0"/>
        <w:rPr>
          <w:rFonts w:hint="eastAsia"/>
          <w:lang w:eastAsia="zh-CN"/>
        </w:rPr>
      </w:pPr>
      <w:r>
        <w:rPr>
          <w:rFonts w:hint="eastAsia"/>
          <w:lang w:eastAsia="zh-CN"/>
        </w:rPr>
        <w:t>社会保障和就业支出（类）行政事业单位离退休（款）归口管理的行政单位离退休（项）：指反映实行归口管理的行政单位（包括实行公务员管理的事业单位）开支的离退休经费。</w:t>
      </w:r>
    </w:p>
    <w:p w14:paraId="129811FA">
      <w:pPr>
        <w:pStyle w:val="18"/>
        <w:numPr>
          <w:ilvl w:val="0"/>
          <w:numId w:val="6"/>
        </w:numPr>
        <w:bidi w:val="0"/>
        <w:ind w:left="0" w:leftChars="0" w:firstLine="420" w:firstLineChars="0"/>
        <w:rPr>
          <w:rFonts w:hint="eastAsia"/>
          <w:lang w:eastAsia="zh-CN"/>
        </w:rPr>
      </w:pPr>
      <w:r>
        <w:rPr>
          <w:rFonts w:hint="eastAsia"/>
          <w:lang w:eastAsia="zh-CN"/>
        </w:rPr>
        <w:t>社会保障和就业支出（类）行政事业单位离退休（款）事业单位离退休（项）：指反映实行归口管理的事业单位开支的离退休经费。</w:t>
      </w:r>
    </w:p>
    <w:p w14:paraId="2C407646">
      <w:pPr>
        <w:pStyle w:val="18"/>
        <w:numPr>
          <w:ilvl w:val="0"/>
          <w:numId w:val="6"/>
        </w:numPr>
        <w:bidi w:val="0"/>
        <w:ind w:left="0" w:leftChars="0" w:firstLine="420" w:firstLineChars="0"/>
        <w:rPr>
          <w:rFonts w:hint="eastAsia"/>
          <w:lang w:eastAsia="zh-CN"/>
        </w:rPr>
      </w:pPr>
      <w:r>
        <w:rPr>
          <w:rFonts w:hint="eastAsia"/>
          <w:lang w:eastAsia="zh-CN"/>
        </w:rPr>
        <w:t>社会保障和就业支出（类）行政事业单位离退休（款）机关事业单位基本养老保险缴费支出（项）：指反映机关事业单位实施养老保险制度由单位缴纳的基本养老保险费支出。</w:t>
      </w:r>
    </w:p>
    <w:p w14:paraId="74B69AF1">
      <w:pPr>
        <w:pStyle w:val="17"/>
        <w:numPr>
          <w:ilvl w:val="0"/>
          <w:numId w:val="0"/>
        </w:numPr>
        <w:bidi w:val="0"/>
        <w:ind w:left="420" w:leftChars="200" w:firstLine="321" w:firstLineChars="100"/>
        <w:rPr>
          <w:rFonts w:hint="eastAsia" w:ascii="楷体_GB2312" w:eastAsia="楷体_GB2312"/>
          <w:b/>
          <w:sz w:val="32"/>
          <w:szCs w:val="30"/>
          <w:lang w:eastAsia="zh-CN"/>
        </w:rPr>
      </w:pPr>
      <w:r>
        <w:rPr>
          <w:rFonts w:hint="eastAsia" w:ascii="楷体_GB2312" w:eastAsia="楷体_GB2312"/>
          <w:b/>
          <w:sz w:val="32"/>
          <w:szCs w:val="30"/>
          <w:lang w:eastAsia="zh-CN"/>
        </w:rPr>
        <w:t>三、相关专业名词</w:t>
      </w:r>
    </w:p>
    <w:p w14:paraId="7AA43E31">
      <w:pPr>
        <w:pStyle w:val="18"/>
        <w:bidi w:val="0"/>
        <w:rPr>
          <w:rFonts w:hint="eastAsia"/>
          <w:lang w:eastAsia="zh-CN"/>
        </w:rPr>
      </w:pPr>
      <w:r>
        <w:rPr>
          <w:rFonts w:hint="eastAsia"/>
          <w:lang w:eastAsia="zh-CN"/>
        </w:rPr>
        <w:t>（一）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73CB6DF">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3184">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FA085"/>
    <w:multiLevelType w:val="singleLevel"/>
    <w:tmpl w:val="870FA085"/>
    <w:lvl w:ilvl="0" w:tentative="0">
      <w:start w:val="5"/>
      <w:numFmt w:val="decimal"/>
      <w:suff w:val="nothing"/>
      <w:lvlText w:val="%1）"/>
      <w:lvlJc w:val="left"/>
      <w:pPr>
        <w:ind w:left="1120" w:leftChars="0" w:firstLine="0" w:firstLineChars="0"/>
      </w:pPr>
    </w:lvl>
  </w:abstractNum>
  <w:abstractNum w:abstractNumId="1">
    <w:nsid w:val="9FABC0A9"/>
    <w:multiLevelType w:val="singleLevel"/>
    <w:tmpl w:val="9FABC0A9"/>
    <w:lvl w:ilvl="0" w:tentative="0">
      <w:start w:val="2"/>
      <w:numFmt w:val="decimal"/>
      <w:suff w:val="nothing"/>
      <w:lvlText w:val="%1）"/>
      <w:lvlJc w:val="left"/>
      <w:pPr>
        <w:ind w:left="1120" w:leftChars="0" w:firstLine="0" w:firstLineChars="0"/>
      </w:pPr>
    </w:lvl>
  </w:abstractNum>
  <w:abstractNum w:abstractNumId="2">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3">
    <w:nsid w:val="2705EFD0"/>
    <w:multiLevelType w:val="singleLevel"/>
    <w:tmpl w:val="2705EFD0"/>
    <w:lvl w:ilvl="0" w:tentative="0">
      <w:start w:val="1"/>
      <w:numFmt w:val="chineseCounting"/>
      <w:suff w:val="nothing"/>
      <w:lvlText w:val="（%1）"/>
      <w:lvlJc w:val="left"/>
      <w:pPr>
        <w:ind w:left="0" w:firstLine="420"/>
      </w:pPr>
      <w:rPr>
        <w:rFonts w:hint="eastAsia"/>
      </w:rPr>
    </w:lvl>
  </w:abstractNum>
  <w:abstractNum w:abstractNumId="4">
    <w:nsid w:val="2BC65FE4"/>
    <w:multiLevelType w:val="singleLevel"/>
    <w:tmpl w:val="2BC65FE4"/>
    <w:lvl w:ilvl="0" w:tentative="0">
      <w:start w:val="1"/>
      <w:numFmt w:val="chineseCounting"/>
      <w:suff w:val="nothing"/>
      <w:lvlText w:val="（%1）"/>
      <w:lvlJc w:val="left"/>
      <w:pPr>
        <w:ind w:left="0" w:firstLine="420"/>
      </w:pPr>
      <w:rPr>
        <w:rFonts w:hint="eastAsia"/>
      </w:rPr>
    </w:lvl>
  </w:abstractNum>
  <w:abstractNum w:abstractNumId="5">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8C77405"/>
    <w:rsid w:val="0957140D"/>
    <w:rsid w:val="095A6D85"/>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AFA6195"/>
    <w:rsid w:val="1B106CD9"/>
    <w:rsid w:val="1B1E744F"/>
    <w:rsid w:val="1B477CB6"/>
    <w:rsid w:val="1B513369"/>
    <w:rsid w:val="1B5543FC"/>
    <w:rsid w:val="1B9273FE"/>
    <w:rsid w:val="1BCF189A"/>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874603"/>
    <w:rsid w:val="2ED008F1"/>
    <w:rsid w:val="2EE1627B"/>
    <w:rsid w:val="2F221578"/>
    <w:rsid w:val="2F3276C7"/>
    <w:rsid w:val="2F656EAC"/>
    <w:rsid w:val="2F875DDB"/>
    <w:rsid w:val="2FA43FE1"/>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3D26C9"/>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4B2041"/>
    <w:rsid w:val="426E79CE"/>
    <w:rsid w:val="42DE4B54"/>
    <w:rsid w:val="43422F5A"/>
    <w:rsid w:val="439416B6"/>
    <w:rsid w:val="4394233B"/>
    <w:rsid w:val="43B35A16"/>
    <w:rsid w:val="441308E0"/>
    <w:rsid w:val="45B7128B"/>
    <w:rsid w:val="45C970A0"/>
    <w:rsid w:val="45EA198E"/>
    <w:rsid w:val="461E51EB"/>
    <w:rsid w:val="466C1CE7"/>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DAB588F"/>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2D6052"/>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1476</Words>
  <Characters>1565</Characters>
  <Lines>47</Lines>
  <Paragraphs>13</Paragraphs>
  <TotalTime>4</TotalTime>
  <ScaleCrop>false</ScaleCrop>
  <LinksUpToDate>false</LinksUpToDate>
  <CharactersWithSpaces>1600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叶蓁蓁</cp:lastModifiedBy>
  <dcterms:modified xsi:type="dcterms:W3CDTF">2026-02-11T08:17:43Z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2052-12.1.0.21915</vt:lpwstr>
  </property>
  <property fmtid="{D5CDD505-2E9C-101B-9397-08002B2CF9AE}" pid="4" name="KSOTemplateDocerSaveRecord">
    <vt:lpwstr>eyJoZGlkIjoiNDIzMWE0YzFkNzlkZTQyNThjMmNkMTAzNTZlNzNlNzgiLCJ1c2VySWQiOiI2NTk1NjU1NjkifQ==</vt:lpwstr>
  </property>
</Properties>
</file>