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2023年渝水区一般公共预算支出决算的说明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FangSong_GB2312"/>
          <w:b w:val="0"/>
          <w:bCs/>
          <w:color w:val="auto"/>
          <w:sz w:val="32"/>
        </w:rPr>
      </w:pP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2023年全区一般公共预算支出完成524248万元，为调整预算的123.8%，比上年决算数增长18.5%。主要支出项目完成情况如下：</w:t>
      </w:r>
    </w:p>
    <w:p>
      <w:pPr>
        <w:spacing w:line="600" w:lineRule="exact"/>
        <w:ind w:firstLine="640" w:firstLineChars="200"/>
        <w:rPr>
          <w:rFonts w:hint="eastAsia" w:ascii="FangSong_GB2312" w:eastAsia="FangSong_GB2312"/>
          <w:b w:val="0"/>
          <w:bCs/>
          <w:sz w:val="30"/>
          <w:szCs w:val="30"/>
        </w:rPr>
      </w:pP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一般公共服务支出591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1万元，增长28%；</w:t>
      </w:r>
      <w:r>
        <w:rPr>
          <w:rFonts w:hint="eastAsia" w:ascii="FangSong_GB2312" w:eastAsia="FangSong_GB2312"/>
          <w:b w:val="0"/>
          <w:bCs/>
          <w:sz w:val="32"/>
          <w:szCs w:val="32"/>
        </w:rPr>
        <w:t>国防支出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64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万元；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-32.6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公共安全支出3835万元，增长-17.2%；教育支出72971万元，增长20.1%；科学技术支出2107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万元，增长16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.1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%；文化旅游体育与传媒支出4468万元，增长103.4%；社会保障和就业支出88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049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万元，增长19.1%；卫生健康支出46740万元，增长37.6%；节能环保支出2969万元，增长31.3%；城乡社区事务支出9435万元，增长4.7%；农林水支出739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  <w:lang w:val="en-US" w:eastAsia="zh-CN"/>
        </w:rPr>
        <w:t>25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万元，增长56.7%；交通运输支出8425万元，增长-59.2%；资源勘探电力信息等支出68880万元，增长-16.7%；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商业服务业等支出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676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-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62.3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；金融支出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180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350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；自然资源海洋气象等支出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1811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62.6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z w:val="32"/>
        </w:rPr>
        <w:t>住房保障支出18966万元，增长73.5%；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粮油物资储备支出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6490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198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；灾害防治及应急管理支出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6273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70.5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；其他支出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12482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260.3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；债务付息支出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17330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-1.1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；债务发行费用支出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36</w:t>
      </w:r>
      <w:r>
        <w:rPr>
          <w:rFonts w:hint="eastAsia" w:ascii="FangSong_GB2312" w:eastAsia="FangSong_GB2312"/>
          <w:b w:val="0"/>
          <w:bCs/>
          <w:sz w:val="32"/>
          <w:szCs w:val="32"/>
        </w:rPr>
        <w:t>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-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47.1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FangSong_GB2312" w:eastAsia="FangSong_GB2312"/>
          <w:b w:val="0"/>
          <w:bCs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6035B"/>
    <w:rsid w:val="1DEE48BF"/>
    <w:rsid w:val="1EB26CA8"/>
    <w:rsid w:val="2986035B"/>
    <w:rsid w:val="416E502A"/>
    <w:rsid w:val="63577032"/>
    <w:rsid w:val="64C76085"/>
    <w:rsid w:val="65FC24D9"/>
    <w:rsid w:val="67FD19F0"/>
    <w:rsid w:val="683C45EE"/>
    <w:rsid w:val="70A46A42"/>
    <w:rsid w:val="7EB72E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textAlignment w:val="baseline"/>
    </w:pPr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2022-09-20T03:36:00Z</dcterms:created>
  <dc:creator>Administrator</dc:creator>
  <cp:lastModifiedBy>Administrator</cp:lastModifiedBy>
  <dcterms:modified xsi:type="dcterms:W3CDTF">2024-07-11T08:11:48Z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