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渝水区202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年度预算绩效管理工作开展情况说明</w:t>
      </w:r>
    </w:p>
    <w:p>
      <w:pPr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firstLine="645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预算绩效管理制度进一步完善。一是印发了《渝水区项目支出和部门整体支出绩效评价管理暂行办法》，进一步建立科学、合理的预算绩效评价管理体系，提高财政资源的配置和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使用效率</w:t>
      </w:r>
      <w:r>
        <w:rPr>
          <w:rFonts w:hint="eastAsia" w:ascii="仿宋" w:hAnsi="仿宋" w:eastAsia="仿宋"/>
          <w:sz w:val="32"/>
          <w:szCs w:val="32"/>
          <w:lang w:eastAsia="zh-CN"/>
        </w:rPr>
        <w:t>；二是制定了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《渝水区区本级预算绩效管理结果应用暂行办法》</w:t>
      </w:r>
      <w:r>
        <w:rPr>
          <w:rFonts w:hint="eastAsia" w:ascii="仿宋" w:hAnsi="仿宋" w:eastAsia="仿宋"/>
          <w:sz w:val="32"/>
          <w:szCs w:val="32"/>
          <w:lang w:eastAsia="zh-CN"/>
        </w:rPr>
        <w:t>，发挥预算绩效管理结果激励约束作用，提高财政预算资金的配置效率和使用效益。</w:t>
      </w:r>
    </w:p>
    <w:p>
      <w:pPr>
        <w:numPr>
          <w:ilvl w:val="0"/>
          <w:numId w:val="1"/>
        </w:numPr>
        <w:ind w:firstLine="645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组织做好202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年绩效目标填报和审核工作，绩效目标管理工作做到了全覆盖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，同时进一步规范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年度年初预算绩效目标申报工作，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增强预算编制的科学性、合理性、规范性。</w:t>
      </w:r>
    </w:p>
    <w:p>
      <w:pPr>
        <w:numPr>
          <w:ilvl w:val="0"/>
          <w:numId w:val="1"/>
        </w:numPr>
        <w:ind w:firstLine="645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组织做好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2023年区本级预算项目事前绩效评估工作，另外做好2024年区本级年初预算项目事前绩效评估工作。</w:t>
      </w:r>
    </w:p>
    <w:p>
      <w:pPr>
        <w:numPr>
          <w:ilvl w:val="0"/>
          <w:numId w:val="1"/>
        </w:num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/>
          <w:sz w:val="32"/>
          <w:szCs w:val="32"/>
          <w:lang w:eastAsia="zh-CN"/>
        </w:rPr>
        <w:t>做好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/>
          <w:sz w:val="32"/>
          <w:szCs w:val="32"/>
          <w:lang w:eastAsia="zh-CN"/>
        </w:rPr>
        <w:t>绩效运行监控管理工作，对全区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所有</w:t>
      </w:r>
      <w:r>
        <w:rPr>
          <w:rFonts w:hint="eastAsia" w:ascii="仿宋" w:hAnsi="仿宋" w:eastAsia="仿宋"/>
          <w:sz w:val="32"/>
          <w:szCs w:val="32"/>
          <w:lang w:eastAsia="zh-CN"/>
        </w:rPr>
        <w:t>部门整体支出和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预算</w:t>
      </w:r>
      <w:r>
        <w:rPr>
          <w:rFonts w:hint="eastAsia" w:ascii="仿宋" w:hAnsi="仿宋" w:eastAsia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开展预算执行情况和绩效目标实现程度“双监控”，实现绩效监控全覆盖，共计监控次数达到5次以上，</w:t>
      </w:r>
      <w:r>
        <w:rPr>
          <w:rFonts w:hint="eastAsia" w:ascii="仿宋" w:hAnsi="仿宋" w:eastAsia="仿宋"/>
          <w:sz w:val="32"/>
          <w:szCs w:val="32"/>
          <w:lang w:eastAsia="zh-CN"/>
        </w:rPr>
        <w:t>同时抽取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10个预算项目支出进行绩效运行重点绩效监控，对发现的问题，提出意见，督促及时整改落实，促进财务管理和项目管理的有效结合。</w:t>
      </w:r>
    </w:p>
    <w:p>
      <w:pPr>
        <w:numPr>
          <w:ilvl w:val="0"/>
          <w:numId w:val="1"/>
        </w:num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绩效评价进一步加强。一是组织区直单位开展绩效自评,组织50个区级部门做好2022年部门整体支出自评工作，组织做好2022年区本级项目支出绩效自评工作，自评项目966个。二是</w:t>
      </w:r>
      <w:r>
        <w:rPr>
          <w:rFonts w:hint="eastAsia" w:ascii="仿宋" w:hAnsi="仿宋" w:eastAsia="仿宋"/>
          <w:sz w:val="32"/>
          <w:szCs w:val="32"/>
        </w:rPr>
        <w:t>组织做好对202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hint="eastAsia" w:ascii="仿宋" w:hAnsi="仿宋" w:eastAsia="仿宋"/>
          <w:sz w:val="32"/>
          <w:szCs w:val="32"/>
          <w:lang w:eastAsia="zh-CN"/>
        </w:rPr>
        <w:t>区级预算项目</w:t>
      </w:r>
      <w:r>
        <w:rPr>
          <w:rFonts w:hint="eastAsia" w:ascii="仿宋" w:hAnsi="仿宋" w:eastAsia="仿宋"/>
          <w:sz w:val="32"/>
          <w:szCs w:val="32"/>
        </w:rPr>
        <w:t>绩效自评复核</w:t>
      </w:r>
      <w:r>
        <w:rPr>
          <w:rFonts w:hint="eastAsia" w:ascii="仿宋" w:hAnsi="仿宋" w:eastAsia="仿宋"/>
          <w:sz w:val="32"/>
          <w:szCs w:val="32"/>
          <w:lang w:eastAsia="zh-CN"/>
        </w:rPr>
        <w:t>及财政重点绩效评价</w:t>
      </w:r>
      <w:r>
        <w:rPr>
          <w:rFonts w:hint="eastAsia" w:ascii="仿宋" w:hAnsi="仿宋" w:eastAsia="仿宋"/>
          <w:sz w:val="32"/>
          <w:szCs w:val="32"/>
        </w:rPr>
        <w:t>工作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抽取2022年区本级已绩效自评30个预算项目委托第三方中介机构开展复核；</w:t>
      </w:r>
      <w:r>
        <w:rPr>
          <w:rFonts w:hint="eastAsia" w:ascii="仿宋" w:hAnsi="仿宋" w:eastAsia="仿宋"/>
          <w:sz w:val="32"/>
          <w:szCs w:val="32"/>
          <w:lang w:eastAsia="zh-CN"/>
        </w:rPr>
        <w:t>抽取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10个区本级</w:t>
      </w:r>
      <w:r>
        <w:rPr>
          <w:rFonts w:hint="eastAsia" w:ascii="仿宋" w:hAnsi="仿宋" w:eastAsia="仿宋"/>
          <w:sz w:val="32"/>
          <w:szCs w:val="32"/>
        </w:rPr>
        <w:t>预算项目</w:t>
      </w:r>
      <w:r>
        <w:rPr>
          <w:rFonts w:hint="eastAsia" w:ascii="仿宋" w:hAnsi="仿宋" w:eastAsia="仿宋"/>
          <w:sz w:val="32"/>
          <w:szCs w:val="32"/>
          <w:lang w:eastAsia="zh-CN"/>
        </w:rPr>
        <w:t>开展重点绩效评价，涉及财政资金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1.16亿元</w:t>
      </w:r>
      <w:r>
        <w:rPr>
          <w:rFonts w:hint="eastAsia" w:ascii="仿宋" w:hAnsi="仿宋" w:eastAsia="仿宋"/>
          <w:sz w:val="32"/>
          <w:szCs w:val="32"/>
          <w:lang w:eastAsia="zh-CN"/>
        </w:rPr>
        <w:t>；抽取了</w:t>
      </w:r>
      <w:r>
        <w:rPr>
          <w:rFonts w:hint="eastAsia" w:ascii="仿宋" w:hAnsi="仿宋" w:eastAsia="仿宋" w:cs="楷体_GB2312"/>
          <w:b w:val="0"/>
          <w:bCs w:val="0"/>
          <w:sz w:val="32"/>
          <w:szCs w:val="32"/>
          <w:lang w:val="en-US" w:eastAsia="zh-CN"/>
        </w:rPr>
        <w:t>10个</w:t>
      </w:r>
      <w:r>
        <w:rPr>
          <w:rFonts w:hint="eastAsia" w:ascii="仿宋" w:hAnsi="仿宋" w:eastAsia="仿宋" w:cs="楷体_GB2312"/>
          <w:b w:val="0"/>
          <w:bCs w:val="0"/>
          <w:sz w:val="32"/>
          <w:szCs w:val="32"/>
          <w:lang w:eastAsia="zh-CN"/>
        </w:rPr>
        <w:t>区级部门</w:t>
      </w:r>
      <w:r>
        <w:rPr>
          <w:rFonts w:hint="eastAsia" w:ascii="仿宋" w:hAnsi="仿宋" w:eastAsia="仿宋" w:cs="楷体_GB2312"/>
          <w:b w:val="0"/>
          <w:bCs w:val="0"/>
          <w:sz w:val="32"/>
          <w:szCs w:val="32"/>
        </w:rPr>
        <w:t>整体支出评价单位</w:t>
      </w:r>
      <w:r>
        <w:rPr>
          <w:rFonts w:hint="eastAsia" w:ascii="仿宋" w:hAnsi="仿宋" w:eastAsia="仿宋"/>
          <w:sz w:val="32"/>
          <w:szCs w:val="32"/>
        </w:rPr>
        <w:t>开展重点绩效评价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5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评价结果得到有效应用。一是及时反馈评价中发现的问题。财政重点评价结束后，财政局将重点评价的部门和项目评价中查找出的问题，及时向部门反馈，由各预算部门（单位）按要求完成绩效问题的整改工作。二是将评价结果作为调整部门预算、完善政策、改进管理的依据。</w:t>
      </w:r>
    </w:p>
    <w:p>
      <w:pPr>
        <w:numPr>
          <w:ilvl w:val="0"/>
          <w:numId w:val="0"/>
        </w:numPr>
        <w:ind w:left="645" w:leftChars="0"/>
        <w:rPr>
          <w:rFonts w:hint="eastAsia" w:ascii="仿宋" w:hAnsi="仿宋" w:eastAsia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C8F9B0"/>
    <w:multiLevelType w:val="singleLevel"/>
    <w:tmpl w:val="A2C8F9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ZTQyOTFlNTkwMDgyZTJhOTUyMTczOTI4NDQ3YWIifQ=="/>
  </w:docVars>
  <w:rsids>
    <w:rsidRoot w:val="003D5B8F"/>
    <w:rsid w:val="00002734"/>
    <w:rsid w:val="00007A00"/>
    <w:rsid w:val="000370AE"/>
    <w:rsid w:val="000471EC"/>
    <w:rsid w:val="00057322"/>
    <w:rsid w:val="00070002"/>
    <w:rsid w:val="00095F40"/>
    <w:rsid w:val="000B3EF3"/>
    <w:rsid w:val="000D3206"/>
    <w:rsid w:val="000D5BC5"/>
    <w:rsid w:val="001038E8"/>
    <w:rsid w:val="00106804"/>
    <w:rsid w:val="00125521"/>
    <w:rsid w:val="001306AF"/>
    <w:rsid w:val="00165520"/>
    <w:rsid w:val="001933FA"/>
    <w:rsid w:val="001A0553"/>
    <w:rsid w:val="001A78CC"/>
    <w:rsid w:val="001B5104"/>
    <w:rsid w:val="001C0428"/>
    <w:rsid w:val="001F50ED"/>
    <w:rsid w:val="00203313"/>
    <w:rsid w:val="0022472B"/>
    <w:rsid w:val="002430A9"/>
    <w:rsid w:val="00246E04"/>
    <w:rsid w:val="0026308F"/>
    <w:rsid w:val="00274D0B"/>
    <w:rsid w:val="002B085E"/>
    <w:rsid w:val="002D036E"/>
    <w:rsid w:val="002D2AA8"/>
    <w:rsid w:val="002E1DEA"/>
    <w:rsid w:val="002E76EB"/>
    <w:rsid w:val="00300C95"/>
    <w:rsid w:val="00331478"/>
    <w:rsid w:val="0033325D"/>
    <w:rsid w:val="00337C4C"/>
    <w:rsid w:val="00353721"/>
    <w:rsid w:val="00355662"/>
    <w:rsid w:val="00371397"/>
    <w:rsid w:val="003A3CBA"/>
    <w:rsid w:val="003B768F"/>
    <w:rsid w:val="003C1AAB"/>
    <w:rsid w:val="003C2996"/>
    <w:rsid w:val="003D5B8F"/>
    <w:rsid w:val="003F51AF"/>
    <w:rsid w:val="004140DE"/>
    <w:rsid w:val="004238A8"/>
    <w:rsid w:val="00434B50"/>
    <w:rsid w:val="0044364E"/>
    <w:rsid w:val="00460152"/>
    <w:rsid w:val="004661DD"/>
    <w:rsid w:val="004719CC"/>
    <w:rsid w:val="00491C2A"/>
    <w:rsid w:val="004952E2"/>
    <w:rsid w:val="004B6F49"/>
    <w:rsid w:val="00525DB8"/>
    <w:rsid w:val="00560A10"/>
    <w:rsid w:val="005651D9"/>
    <w:rsid w:val="00571472"/>
    <w:rsid w:val="005A282B"/>
    <w:rsid w:val="005A60B1"/>
    <w:rsid w:val="005A78D0"/>
    <w:rsid w:val="005C2E28"/>
    <w:rsid w:val="005D5B11"/>
    <w:rsid w:val="005E65CA"/>
    <w:rsid w:val="006068B4"/>
    <w:rsid w:val="006144B9"/>
    <w:rsid w:val="00630566"/>
    <w:rsid w:val="0067052E"/>
    <w:rsid w:val="006738AF"/>
    <w:rsid w:val="0068530A"/>
    <w:rsid w:val="0069454A"/>
    <w:rsid w:val="006B3740"/>
    <w:rsid w:val="006C20BF"/>
    <w:rsid w:val="006E0ECF"/>
    <w:rsid w:val="006E4C6E"/>
    <w:rsid w:val="006E74D9"/>
    <w:rsid w:val="00712141"/>
    <w:rsid w:val="00716B75"/>
    <w:rsid w:val="00736D50"/>
    <w:rsid w:val="00747980"/>
    <w:rsid w:val="00752448"/>
    <w:rsid w:val="007529F5"/>
    <w:rsid w:val="00781F10"/>
    <w:rsid w:val="007909C2"/>
    <w:rsid w:val="0079115D"/>
    <w:rsid w:val="007917BB"/>
    <w:rsid w:val="007B49F1"/>
    <w:rsid w:val="007D2931"/>
    <w:rsid w:val="007D48A0"/>
    <w:rsid w:val="007E671F"/>
    <w:rsid w:val="008122EE"/>
    <w:rsid w:val="00812B55"/>
    <w:rsid w:val="00823F77"/>
    <w:rsid w:val="008334E9"/>
    <w:rsid w:val="00853464"/>
    <w:rsid w:val="008630BE"/>
    <w:rsid w:val="00870953"/>
    <w:rsid w:val="008B4CAC"/>
    <w:rsid w:val="008C589B"/>
    <w:rsid w:val="008C6E62"/>
    <w:rsid w:val="008E6CFF"/>
    <w:rsid w:val="00931228"/>
    <w:rsid w:val="009374C1"/>
    <w:rsid w:val="00944BF6"/>
    <w:rsid w:val="00955528"/>
    <w:rsid w:val="00962350"/>
    <w:rsid w:val="00962BCF"/>
    <w:rsid w:val="00967BBD"/>
    <w:rsid w:val="00977495"/>
    <w:rsid w:val="009A24C7"/>
    <w:rsid w:val="009A30D0"/>
    <w:rsid w:val="009D1DBF"/>
    <w:rsid w:val="009E65E6"/>
    <w:rsid w:val="009F7486"/>
    <w:rsid w:val="00A02CDC"/>
    <w:rsid w:val="00A201ED"/>
    <w:rsid w:val="00A20C25"/>
    <w:rsid w:val="00A23136"/>
    <w:rsid w:val="00A23550"/>
    <w:rsid w:val="00A26451"/>
    <w:rsid w:val="00A716B4"/>
    <w:rsid w:val="00A76A1C"/>
    <w:rsid w:val="00A92FC3"/>
    <w:rsid w:val="00AA709A"/>
    <w:rsid w:val="00AD39A2"/>
    <w:rsid w:val="00AE5D50"/>
    <w:rsid w:val="00AF562E"/>
    <w:rsid w:val="00AF5DEB"/>
    <w:rsid w:val="00B247D8"/>
    <w:rsid w:val="00B34ECE"/>
    <w:rsid w:val="00B473CE"/>
    <w:rsid w:val="00B77776"/>
    <w:rsid w:val="00BB6478"/>
    <w:rsid w:val="00BD2B75"/>
    <w:rsid w:val="00BD6AC8"/>
    <w:rsid w:val="00BE799D"/>
    <w:rsid w:val="00BF4008"/>
    <w:rsid w:val="00C0777E"/>
    <w:rsid w:val="00C2760C"/>
    <w:rsid w:val="00C513BB"/>
    <w:rsid w:val="00C745E8"/>
    <w:rsid w:val="00C74F82"/>
    <w:rsid w:val="00C77FC3"/>
    <w:rsid w:val="00C853B9"/>
    <w:rsid w:val="00CB4176"/>
    <w:rsid w:val="00CD4A09"/>
    <w:rsid w:val="00CE3E4C"/>
    <w:rsid w:val="00D0267D"/>
    <w:rsid w:val="00D35F87"/>
    <w:rsid w:val="00D37D81"/>
    <w:rsid w:val="00D51B8F"/>
    <w:rsid w:val="00D83629"/>
    <w:rsid w:val="00D9180F"/>
    <w:rsid w:val="00DA36A2"/>
    <w:rsid w:val="00DD0816"/>
    <w:rsid w:val="00DD1A9C"/>
    <w:rsid w:val="00DD1B43"/>
    <w:rsid w:val="00DE1269"/>
    <w:rsid w:val="00E170FB"/>
    <w:rsid w:val="00E311F6"/>
    <w:rsid w:val="00E34990"/>
    <w:rsid w:val="00E548C6"/>
    <w:rsid w:val="00E70136"/>
    <w:rsid w:val="00E723A1"/>
    <w:rsid w:val="00E844D0"/>
    <w:rsid w:val="00E9125B"/>
    <w:rsid w:val="00EA3B26"/>
    <w:rsid w:val="00EC45FF"/>
    <w:rsid w:val="00ED3D6E"/>
    <w:rsid w:val="00EE074F"/>
    <w:rsid w:val="00EE58C9"/>
    <w:rsid w:val="00EE7EB7"/>
    <w:rsid w:val="00F02C70"/>
    <w:rsid w:val="00F10D3A"/>
    <w:rsid w:val="00F562DC"/>
    <w:rsid w:val="00F74E9C"/>
    <w:rsid w:val="00FA1244"/>
    <w:rsid w:val="00FB3914"/>
    <w:rsid w:val="00FC1456"/>
    <w:rsid w:val="00FC6853"/>
    <w:rsid w:val="045F6080"/>
    <w:rsid w:val="04DF1A8A"/>
    <w:rsid w:val="06667CE7"/>
    <w:rsid w:val="0A7C55E1"/>
    <w:rsid w:val="0AA73851"/>
    <w:rsid w:val="13180F89"/>
    <w:rsid w:val="17456322"/>
    <w:rsid w:val="18610323"/>
    <w:rsid w:val="18B05A61"/>
    <w:rsid w:val="1B4D1383"/>
    <w:rsid w:val="1CD870A3"/>
    <w:rsid w:val="26FD14FB"/>
    <w:rsid w:val="276A3393"/>
    <w:rsid w:val="29451F54"/>
    <w:rsid w:val="33ED7470"/>
    <w:rsid w:val="36CC285D"/>
    <w:rsid w:val="3F866E83"/>
    <w:rsid w:val="41F5760C"/>
    <w:rsid w:val="442C6116"/>
    <w:rsid w:val="456360CF"/>
    <w:rsid w:val="46CD6437"/>
    <w:rsid w:val="4A8E5668"/>
    <w:rsid w:val="4EAA38A8"/>
    <w:rsid w:val="4F4E286B"/>
    <w:rsid w:val="52892EA0"/>
    <w:rsid w:val="5BC9220A"/>
    <w:rsid w:val="634B5018"/>
    <w:rsid w:val="660151F5"/>
    <w:rsid w:val="67025757"/>
    <w:rsid w:val="7AFF0670"/>
    <w:rsid w:val="7CAA015A"/>
    <w:rsid w:val="7DC46FA0"/>
    <w:rsid w:val="7F756B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办公自动化专用标题"/>
    <w:basedOn w:val="5"/>
    <w:qFormat/>
    <w:uiPriority w:val="0"/>
    <w:rPr>
      <w:rFonts w:ascii="Cambria" w:hAnsi="Cambria" w:cs="Times New Roman"/>
    </w:rPr>
  </w:style>
  <w:style w:type="character" w:customStyle="1" w:styleId="11">
    <w:name w:val="标题 Char"/>
    <w:basedOn w:val="6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2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D72ECF-5994-4EB3-BD51-0FFCAC1D2E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770</Words>
  <Characters>810</Characters>
  <Lines>5</Lines>
  <Paragraphs>1</Paragraphs>
  <TotalTime>0</TotalTime>
  <ScaleCrop>false</ScaleCrop>
  <LinksUpToDate>false</LinksUpToDate>
  <CharactersWithSpaces>810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2020-06-24T01:10:00Z</dcterms:created>
  <dc:creator>聂小华</dc:creator>
  <cp:lastModifiedBy>Administrator</cp:lastModifiedBy>
  <dcterms:modified xsi:type="dcterms:W3CDTF">2024-07-29T03:48:30Z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  <property fmtid="{D5CDD505-2E9C-101B-9397-08002B2CF9AE}" pid="3" name="ICV">
    <vt:lpwstr>8FB798CBAE9E414F9D14E5D22A59E6BB</vt:lpwstr>
  </property>
</Properties>
</file>