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十九、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2023年渝水区政府性基金预算支出决算的说明</w:t>
      </w: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16" w:firstLineChars="200"/>
        <w:textAlignment w:val="auto"/>
        <w:rPr>
          <w:rFonts w:hint="eastAsia" w:ascii="Times New Roman" w:hAnsi="Times New Roman" w:eastAsia="FangSong_GB2312"/>
          <w:b w:val="0"/>
          <w:bCs/>
          <w:color w:val="auto"/>
          <w:spacing w:val="6"/>
          <w:sz w:val="32"/>
        </w:rPr>
      </w:pP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2023年，全区政府性基金支出175,430万元，比上年决算数增长-4.6%。其中：文化旅游体育与传媒支出22万元，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-43.6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社会保障和就业支出1782万元，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29.8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城乡社区支出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29873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万元，</w:t>
      </w:r>
      <w:bookmarkStart w:id="0" w:name="OLE_LINK7"/>
      <w:bookmarkStart w:id="1" w:name="OLE_LINK6"/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-10.2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交通运输支出274万元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其他支出127208万元</w:t>
      </w:r>
      <w:bookmarkEnd w:id="0"/>
      <w:bookmarkEnd w:id="1"/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-6.8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债务付息支出债务发行费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16122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万元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eastAsia="zh-CN"/>
        </w:rPr>
        <w:t>，</w:t>
      </w:r>
      <w:r>
        <w:rPr>
          <w:rFonts w:hint="eastAsia" w:ascii="FangSong_GB2312" w:eastAsia="FangSong_GB2312"/>
          <w:b w:val="0"/>
          <w:bCs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val="en-US" w:eastAsia="zh-CN"/>
        </w:rPr>
        <w:t>27.5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FangSong_GB2312"/>
          <w:b w:val="0"/>
          <w:bCs w:val="0"/>
          <w:color w:val="auto"/>
          <w:spacing w:val="-6"/>
          <w:sz w:val="32"/>
        </w:rPr>
        <w:t>债务发行费</w:t>
      </w:r>
      <w:r>
        <w:rPr>
          <w:rFonts w:hint="eastAsia" w:ascii="Times New Roman" w:hAnsi="Times New Roman" w:eastAsia="FangSong_GB2312"/>
          <w:b w:val="0"/>
          <w:bCs w:val="0"/>
          <w:color w:val="auto"/>
          <w:spacing w:val="-6"/>
          <w:sz w:val="32"/>
          <w:lang w:val="en-US" w:eastAsia="zh-CN"/>
        </w:rPr>
        <w:t>149</w:t>
      </w:r>
      <w:r>
        <w:rPr>
          <w:rFonts w:hint="eastAsia" w:ascii="Times New Roman" w:hAnsi="Times New Roman" w:eastAsia="FangSong_GB2312"/>
          <w:b w:val="0"/>
          <w:bCs w:val="0"/>
          <w:color w:val="auto"/>
          <w:spacing w:val="-6"/>
          <w:sz w:val="32"/>
        </w:rPr>
        <w:t>万元</w:t>
      </w:r>
      <w:r>
        <w:rPr>
          <w:rFonts w:hint="eastAsia" w:ascii="Times New Roman" w:hAnsi="Times New Roman" w:eastAsia="FangSong_GB2312"/>
          <w:b w:val="0"/>
          <w:bCs w:val="0"/>
          <w:color w:val="auto"/>
          <w:spacing w:val="-6"/>
          <w:sz w:val="32"/>
          <w:lang w:eastAsia="zh-CN"/>
        </w:rPr>
        <w:t>，</w:t>
      </w:r>
      <w:r>
        <w:rPr>
          <w:rFonts w:hint="eastAsia" w:ascii="FangSong_GB2312" w:eastAsia="FangSong_GB2312"/>
          <w:b w:val="0"/>
          <w:bCs w:val="0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增长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sz w:val="32"/>
          <w:szCs w:val="32"/>
          <w:u w:val="none"/>
          <w:lang w:val="en-US" w:eastAsia="zh-CN"/>
        </w:rPr>
        <w:t>17.3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sz w:val="32"/>
          <w:szCs w:val="32"/>
          <w:u w:val="none"/>
        </w:rPr>
        <w:t>%</w:t>
      </w:r>
      <w:r>
        <w:rPr>
          <w:rFonts w:hint="eastAsia" w:ascii="Times New Roman" w:hAnsi="Times New Roman" w:eastAsia="FangSong_GB2312"/>
          <w:b w:val="0"/>
          <w:bCs w:val="0"/>
          <w:color w:val="auto"/>
          <w:spacing w:val="-6"/>
          <w:sz w:val="32"/>
        </w:rPr>
        <w:t>。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加上专项债务还本支出4830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3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万元，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eastAsia="zh-CN"/>
        </w:rPr>
        <w:t>上解支出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107万元，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调出资金20000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万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元，支出总计243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  <w:lang w:val="en-US" w:eastAsia="zh-CN"/>
        </w:rPr>
        <w:t>840</w:t>
      </w:r>
      <w:r>
        <w:rPr>
          <w:rFonts w:hint="eastAsia" w:ascii="Times New Roman" w:hAnsi="Times New Roman" w:eastAsia="FangSong_GB2312"/>
          <w:b w:val="0"/>
          <w:bCs/>
          <w:color w:val="auto"/>
          <w:spacing w:val="-6"/>
          <w:sz w:val="32"/>
        </w:rPr>
        <w:t>万元，年终结余48383万元。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bookmarkStart w:id="2" w:name="_GoBack"/>
      <w:bookmarkEnd w:id="2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A197D"/>
    <w:rsid w:val="2DA24756"/>
    <w:rsid w:val="2FA44695"/>
    <w:rsid w:val="3B486424"/>
    <w:rsid w:val="406A0B20"/>
    <w:rsid w:val="66712163"/>
    <w:rsid w:val="6EAF42E2"/>
    <w:rsid w:val="7A7A1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2022-09-20T09:15:00Z</dcterms:created>
  <dc:creator>Administrator</dc:creator>
  <cp:lastModifiedBy>Administrator</cp:lastModifiedBy>
  <dcterms:modified xsi:type="dcterms:W3CDTF">2024-07-11T08:15:23Z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