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新余市渝水区统计局2023年度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新余市渝水区统计局概况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新余市渝水区统计局概况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keepNext w:val="0"/>
        <w:keepLines w:val="0"/>
        <w:widowControl w:val="0"/>
        <w:suppressLineNumbers w:val="0"/>
        <w:spacing w:before="0" w:beforeAutospacing="0" w:after="0" w:afterAutospacing="0"/>
        <w:ind w:right="0" w:firstLine="320" w:firstLineChars="100"/>
        <w:jc w:val="both"/>
        <w:rPr>
          <w:rFonts w:hint="eastAsia" w:ascii="仿宋_GB2312" w:hAnsi="宋体" w:eastAsia="仿宋_GB2312" w:cs="仿宋_GB2312"/>
          <w:sz w:val="32"/>
          <w:szCs w:val="30"/>
          <w:lang w:val="en-US"/>
        </w:rPr>
      </w:pPr>
      <w:r>
        <w:rPr>
          <w:rFonts w:hint="eastAsia" w:ascii="黑体" w:hAnsi="黑体" w:eastAsia="黑体"/>
          <w:sz w:val="32"/>
          <w:szCs w:val="32"/>
          <w:lang w:val="en-US" w:eastAsia="zh-CN"/>
        </w:rPr>
        <w:t xml:space="preserve"> </w:t>
      </w:r>
      <w:r>
        <w:rPr>
          <w:rFonts w:hint="eastAsia" w:ascii="仿宋_GB2312" w:hAnsi="仿宋_GB2312" w:eastAsia="仿宋_GB2312"/>
          <w:sz w:val="30"/>
          <w:szCs w:val="30"/>
        </w:rPr>
        <w:t>（一）</w:t>
      </w:r>
      <w:r>
        <w:rPr>
          <w:rFonts w:hint="eastAsia" w:ascii="仿宋_GB2312" w:hAnsi="宋体" w:eastAsia="仿宋_GB2312" w:cs="仿宋_GB2312"/>
          <w:kern w:val="2"/>
          <w:sz w:val="32"/>
          <w:szCs w:val="30"/>
          <w:lang w:val="en-US" w:eastAsia="zh-CN" w:bidi="ar"/>
        </w:rPr>
        <w:t>区统计局是主管全区统计工作的区政府组成部门（直属机构），主要职责是：</w:t>
      </w:r>
    </w:p>
    <w:p>
      <w:pPr>
        <w:keepNext w:val="0"/>
        <w:keepLines w:val="0"/>
        <w:widowControl w:val="0"/>
        <w:suppressLineNumbers w:val="0"/>
        <w:snapToGrid w:val="0"/>
        <w:spacing w:before="0" w:beforeAutospacing="0" w:after="0" w:afterAutospacing="0" w:line="324" w:lineRule="auto"/>
        <w:ind w:left="0" w:right="0" w:firstLine="630"/>
        <w:jc w:val="both"/>
        <w:rPr>
          <w:rFonts w:hint="eastAsia" w:ascii="仿宋_GB2312" w:hAnsi="宋体" w:eastAsia="仿宋_GB2312" w:cs="仿宋_GB2312"/>
          <w:sz w:val="32"/>
          <w:szCs w:val="30"/>
          <w:lang w:val="en-US"/>
        </w:rPr>
      </w:pPr>
      <w:r>
        <w:rPr>
          <w:rFonts w:hint="eastAsia" w:ascii="仿宋_GB2312" w:hAnsi="宋体" w:eastAsia="仿宋_GB2312" w:cs="仿宋_GB2312"/>
          <w:kern w:val="2"/>
          <w:sz w:val="32"/>
          <w:szCs w:val="30"/>
          <w:lang w:val="en-US" w:eastAsia="zh-CN" w:bidi="ar"/>
        </w:rPr>
        <w:t>1、拟定全区统计事业发展规划；组织领导和综合协调各乡、镇（办）、各部门的统计工作；组织实施统计改革方案，监督检查统计法律、法规的实施。</w:t>
      </w:r>
    </w:p>
    <w:p>
      <w:pPr>
        <w:keepNext w:val="0"/>
        <w:keepLines w:val="0"/>
        <w:widowControl w:val="0"/>
        <w:suppressLineNumbers w:val="0"/>
        <w:snapToGrid w:val="0"/>
        <w:spacing w:before="0" w:beforeAutospacing="0" w:after="0" w:afterAutospacing="0" w:line="324" w:lineRule="auto"/>
        <w:ind w:left="0" w:right="0" w:firstLine="630"/>
        <w:jc w:val="both"/>
        <w:rPr>
          <w:rFonts w:hint="eastAsia" w:ascii="仿宋_GB2312" w:hAnsi="宋体" w:eastAsia="仿宋_GB2312" w:cs="仿宋_GB2312"/>
          <w:sz w:val="32"/>
          <w:szCs w:val="30"/>
          <w:lang w:val="en-US"/>
        </w:rPr>
      </w:pPr>
      <w:r>
        <w:rPr>
          <w:rFonts w:hint="eastAsia" w:ascii="仿宋_GB2312" w:hAnsi="宋体" w:eastAsia="仿宋_GB2312" w:cs="仿宋_GB2312"/>
          <w:kern w:val="2"/>
          <w:sz w:val="32"/>
          <w:szCs w:val="30"/>
          <w:lang w:val="en-US" w:eastAsia="zh-CN" w:bidi="ar"/>
        </w:rPr>
        <w:t>2、组织完成国务院统一布置的农业普查、人口普查和经济普查；组织实施投入产出调查、1%人口抽样调查和非公有制经济调查等专项调查。</w:t>
      </w:r>
    </w:p>
    <w:p>
      <w:pPr>
        <w:keepNext w:val="0"/>
        <w:keepLines w:val="0"/>
        <w:widowControl w:val="0"/>
        <w:suppressLineNumbers w:val="0"/>
        <w:snapToGrid w:val="0"/>
        <w:spacing w:before="0" w:beforeAutospacing="0" w:after="0" w:afterAutospacing="0" w:line="324" w:lineRule="auto"/>
        <w:ind w:left="0" w:right="0" w:firstLine="630"/>
        <w:jc w:val="both"/>
        <w:rPr>
          <w:rFonts w:hint="eastAsia" w:ascii="仿宋_GB2312" w:hAnsi="宋体" w:eastAsia="仿宋_GB2312" w:cs="仿宋_GB2312"/>
          <w:sz w:val="32"/>
          <w:szCs w:val="30"/>
          <w:lang w:val="en-US"/>
        </w:rPr>
      </w:pPr>
      <w:r>
        <w:rPr>
          <w:rFonts w:hint="eastAsia" w:ascii="仿宋_GB2312" w:hAnsi="宋体" w:eastAsia="仿宋_GB2312" w:cs="仿宋_GB2312"/>
          <w:kern w:val="2"/>
          <w:sz w:val="32"/>
          <w:szCs w:val="30"/>
          <w:lang w:val="en-US" w:eastAsia="zh-CN" w:bidi="ar"/>
        </w:rPr>
        <w:t>3、建立和健全区国民经济核算体系、统计指标体系、统计调查体系；组织实施国家统计表制度，贯彻执行国家统计标准。</w:t>
      </w:r>
    </w:p>
    <w:p>
      <w:pPr>
        <w:keepNext w:val="0"/>
        <w:keepLines w:val="0"/>
        <w:widowControl w:val="0"/>
        <w:suppressLineNumbers w:val="0"/>
        <w:tabs>
          <w:tab w:val="right" w:pos="9071"/>
        </w:tabs>
        <w:snapToGrid w:val="0"/>
        <w:spacing w:before="0" w:beforeAutospacing="0" w:after="0" w:afterAutospacing="0" w:line="324" w:lineRule="auto"/>
        <w:ind w:left="0" w:right="0" w:firstLine="630"/>
        <w:jc w:val="both"/>
        <w:rPr>
          <w:rFonts w:hint="eastAsia" w:ascii="仿宋_GB2312" w:hAnsi="宋体" w:eastAsia="仿宋_GB2312" w:cs="仿宋_GB2312"/>
          <w:sz w:val="32"/>
          <w:szCs w:val="30"/>
          <w:lang w:val="en-US"/>
        </w:rPr>
      </w:pPr>
      <w:r>
        <w:rPr>
          <w:rFonts w:hint="eastAsia" w:ascii="仿宋_GB2312" w:hAnsi="宋体" w:eastAsia="仿宋_GB2312" w:cs="仿宋_GB2312"/>
          <w:kern w:val="2"/>
          <w:sz w:val="32"/>
          <w:szCs w:val="30"/>
          <w:lang w:val="en-US" w:eastAsia="zh-CN" w:bidi="ar"/>
        </w:rPr>
        <w:t>4、组织指导全区统计工作，负责全区统计报表管理工作</w:t>
      </w:r>
      <w:r>
        <w:rPr>
          <w:rFonts w:hint="eastAsia" w:ascii="仿宋_GB2312" w:hAnsi="宋体" w:eastAsia="仿宋_GB2312" w:cs="仿宋_GB2312"/>
          <w:kern w:val="2"/>
          <w:sz w:val="32"/>
          <w:szCs w:val="30"/>
          <w:lang w:val="en-US" w:eastAsia="zh-CN" w:bidi="ar"/>
        </w:rPr>
        <w:tab/>
      </w:r>
    </w:p>
    <w:p>
      <w:pPr>
        <w:keepNext w:val="0"/>
        <w:keepLines w:val="0"/>
        <w:widowControl w:val="0"/>
        <w:suppressLineNumbers w:val="0"/>
        <w:snapToGrid w:val="0"/>
        <w:spacing w:before="0" w:beforeAutospacing="0" w:after="0" w:afterAutospacing="0" w:line="324" w:lineRule="auto"/>
        <w:ind w:left="0" w:right="0" w:firstLine="630"/>
        <w:jc w:val="both"/>
        <w:rPr>
          <w:rFonts w:hint="eastAsia" w:ascii="仿宋_GB2312" w:hAnsi="宋体" w:eastAsia="仿宋_GB2312" w:cs="仿宋_GB2312"/>
          <w:sz w:val="32"/>
          <w:szCs w:val="30"/>
          <w:lang w:val="en-US"/>
        </w:rPr>
      </w:pPr>
      <w:r>
        <w:rPr>
          <w:rFonts w:hint="eastAsia" w:ascii="仿宋_GB2312" w:hAnsi="宋体" w:eastAsia="仿宋_GB2312" w:cs="仿宋_GB2312"/>
          <w:kern w:val="2"/>
          <w:sz w:val="32"/>
          <w:szCs w:val="30"/>
          <w:lang w:val="en-US" w:eastAsia="zh-CN" w:bidi="ar"/>
        </w:rPr>
        <w:t>5、收集、汇总、整理、提供全区性基本统计资料，对国民经济及社会发展情况进行统计分析、统计预测和统计监督，向区委、区政府及有关部门提供统计信息和咨询建议。</w:t>
      </w:r>
    </w:p>
    <w:p>
      <w:pPr>
        <w:ind w:firstLine="630"/>
        <w:jc w:val="left"/>
        <w:rPr>
          <w:rFonts w:hint="eastAsia" w:ascii="仿宋_GB2312" w:hAnsi="仿宋_GB2312" w:eastAsia="仿宋_GB2312"/>
          <w:sz w:val="32"/>
          <w:szCs w:val="32"/>
        </w:rPr>
      </w:pPr>
    </w:p>
    <w:p>
      <w:pPr>
        <w:jc w:val="left"/>
        <w:rPr>
          <w:rFonts w:hint="eastAsia" w:ascii="仿宋_GB2312" w:hAnsi="仿宋_GB2312" w:eastAsia="仿宋_GB2312"/>
          <w:sz w:val="32"/>
          <w:szCs w:val="32"/>
        </w:rPr>
      </w:pPr>
    </w:p>
    <w:p>
      <w:pPr>
        <w:numPr>
          <w:ilvl w:val="0"/>
          <w:numId w:val="1"/>
        </w:numPr>
        <w:ind w:firstLine="630"/>
        <w:jc w:val="left"/>
        <w:outlineLvl w:val="1"/>
        <w:rPr>
          <w:rFonts w:hint="eastAsia" w:ascii="黑体" w:hAnsi="黑体" w:eastAsia="黑体"/>
          <w:sz w:val="32"/>
          <w:szCs w:val="32"/>
        </w:rPr>
      </w:pPr>
      <w:r>
        <w:rPr>
          <w:rFonts w:hint="eastAsia" w:ascii="黑体" w:hAnsi="黑体" w:eastAsia="黑体"/>
          <w:sz w:val="32"/>
          <w:szCs w:val="32"/>
        </w:rPr>
        <w:t>机构设置及人员情况</w:t>
      </w:r>
    </w:p>
    <w:p>
      <w:pPr>
        <w:numPr>
          <w:ilvl w:val="0"/>
          <w:numId w:val="0"/>
        </w:numPr>
        <w:ind w:firstLine="640" w:firstLineChars="200"/>
        <w:jc w:val="left"/>
        <w:outlineLvl w:val="1"/>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纳入本套部门决算汇编范围的单位共  </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 xml:space="preserve"> 个</w:t>
      </w:r>
      <w:r>
        <w:rPr>
          <w:rFonts w:hint="eastAsia" w:ascii="仿宋_GB2312" w:hAnsi="仿宋_GB2312" w:eastAsia="仿宋_GB2312"/>
          <w:sz w:val="32"/>
          <w:szCs w:val="32"/>
          <w:lang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人（不含由养老保险基金发放养老金的离退休人员），其他人员0人。由养老保险基金发放养老金的离退休人员8人。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696.11</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562.11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110.01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17.98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696.11</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696.11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696.11</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696.11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696.11</w:t>
            </w:r>
          </w:p>
        </w:tc>
        <w:tc>
          <w:tcPr>
            <w:tcW w:w="900" w:type="dxa"/>
            <w:vAlign w:val="center"/>
          </w:tcPr>
          <w:p>
            <w:pPr>
              <w:jc w:val="right"/>
            </w:pPr>
            <w:r>
              <w:rPr>
                <w:rFonts w:ascii="宋体" w:hAnsi="宋体" w:eastAsia="宋体" w:cs="宋体"/>
                <w:b w:val="0"/>
                <w:i w:val="0"/>
                <w:color w:val="000000"/>
                <w:sz w:val="9"/>
              </w:rPr>
              <w:t>696.11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562.11</w:t>
            </w:r>
          </w:p>
        </w:tc>
        <w:tc>
          <w:tcPr>
            <w:tcW w:w="900" w:type="dxa"/>
            <w:vAlign w:val="center"/>
          </w:tcPr>
          <w:p>
            <w:pPr>
              <w:jc w:val="right"/>
            </w:pPr>
            <w:r>
              <w:rPr>
                <w:rFonts w:ascii="宋体" w:hAnsi="宋体" w:eastAsia="宋体" w:cs="宋体"/>
                <w:b w:val="0"/>
                <w:i w:val="0"/>
                <w:color w:val="000000"/>
                <w:sz w:val="9"/>
              </w:rPr>
              <w:t>562.11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20105</w:t>
            </w:r>
          </w:p>
        </w:tc>
        <w:tc>
          <w:tcPr>
            <w:tcW w:w="1420" w:type="dxa"/>
            <w:vAlign w:val="center"/>
          </w:tcPr>
          <w:p>
            <w:pPr>
              <w:jc w:val="left"/>
            </w:pPr>
            <w:r>
              <w:rPr>
                <w:rFonts w:ascii="宋体" w:hAnsi="宋体" w:eastAsia="宋体" w:cs="宋体"/>
                <w:b w:val="0"/>
                <w:i w:val="0"/>
                <w:color w:val="000000"/>
                <w:sz w:val="9"/>
              </w:rPr>
              <w:t>统计信息事务</w:t>
            </w:r>
          </w:p>
        </w:tc>
        <w:tc>
          <w:tcPr>
            <w:tcW w:w="860" w:type="dxa"/>
            <w:vAlign w:val="center"/>
          </w:tcPr>
          <w:p>
            <w:pPr>
              <w:jc w:val="right"/>
            </w:pPr>
            <w:r>
              <w:rPr>
                <w:rFonts w:ascii="宋体" w:hAnsi="宋体" w:eastAsia="宋体" w:cs="宋体"/>
                <w:b w:val="0"/>
                <w:i w:val="0"/>
                <w:color w:val="000000"/>
                <w:sz w:val="9"/>
              </w:rPr>
              <w:t>562.11</w:t>
            </w:r>
          </w:p>
        </w:tc>
        <w:tc>
          <w:tcPr>
            <w:tcW w:w="900" w:type="dxa"/>
            <w:vAlign w:val="center"/>
          </w:tcPr>
          <w:p>
            <w:pPr>
              <w:jc w:val="right"/>
            </w:pPr>
            <w:r>
              <w:rPr>
                <w:rFonts w:ascii="宋体" w:hAnsi="宋体" w:eastAsia="宋体" w:cs="宋体"/>
                <w:b w:val="0"/>
                <w:i w:val="0"/>
                <w:color w:val="000000"/>
                <w:sz w:val="9"/>
              </w:rPr>
              <w:t>562.11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2010501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360.54</w:t>
            </w:r>
          </w:p>
        </w:tc>
        <w:tc>
          <w:tcPr>
            <w:tcW w:w="900" w:type="dxa"/>
            <w:vAlign w:val="center"/>
          </w:tcPr>
          <w:p>
            <w:pPr>
              <w:jc w:val="right"/>
            </w:pPr>
            <w:r>
              <w:rPr>
                <w:rFonts w:ascii="宋体" w:hAnsi="宋体" w:eastAsia="宋体" w:cs="宋体"/>
                <w:b w:val="0"/>
                <w:i w:val="0"/>
                <w:color w:val="000000"/>
                <w:sz w:val="9"/>
              </w:rPr>
              <w:t>360.54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2010505</w:t>
            </w:r>
          </w:p>
        </w:tc>
        <w:tc>
          <w:tcPr>
            <w:tcW w:w="1420" w:type="dxa"/>
            <w:vAlign w:val="center"/>
          </w:tcPr>
          <w:p>
            <w:pPr>
              <w:jc w:val="left"/>
            </w:pPr>
            <w:r>
              <w:rPr>
                <w:rFonts w:ascii="宋体" w:hAnsi="宋体" w:eastAsia="宋体" w:cs="宋体"/>
                <w:b w:val="0"/>
                <w:i w:val="0"/>
                <w:color w:val="000000"/>
                <w:sz w:val="9"/>
              </w:rPr>
              <w:t>专项统计业务</w:t>
            </w:r>
          </w:p>
        </w:tc>
        <w:tc>
          <w:tcPr>
            <w:tcW w:w="860" w:type="dxa"/>
            <w:vAlign w:val="center"/>
          </w:tcPr>
          <w:p>
            <w:pPr>
              <w:jc w:val="right"/>
            </w:pPr>
            <w:r>
              <w:rPr>
                <w:rFonts w:ascii="宋体" w:hAnsi="宋体" w:eastAsia="宋体" w:cs="宋体"/>
                <w:b w:val="0"/>
                <w:i w:val="0"/>
                <w:color w:val="000000"/>
                <w:sz w:val="9"/>
              </w:rPr>
              <w:t>41.94</w:t>
            </w:r>
          </w:p>
        </w:tc>
        <w:tc>
          <w:tcPr>
            <w:tcW w:w="900" w:type="dxa"/>
            <w:vAlign w:val="center"/>
          </w:tcPr>
          <w:p>
            <w:pPr>
              <w:jc w:val="right"/>
            </w:pPr>
            <w:r>
              <w:rPr>
                <w:rFonts w:ascii="宋体" w:hAnsi="宋体" w:eastAsia="宋体" w:cs="宋体"/>
                <w:b w:val="0"/>
                <w:i w:val="0"/>
                <w:color w:val="000000"/>
                <w:sz w:val="9"/>
              </w:rPr>
              <w:t>41.94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2010507</w:t>
            </w:r>
          </w:p>
        </w:tc>
        <w:tc>
          <w:tcPr>
            <w:tcW w:w="1420" w:type="dxa"/>
            <w:vAlign w:val="center"/>
          </w:tcPr>
          <w:p>
            <w:pPr>
              <w:jc w:val="left"/>
            </w:pPr>
            <w:r>
              <w:rPr>
                <w:rFonts w:ascii="宋体" w:hAnsi="宋体" w:eastAsia="宋体" w:cs="宋体"/>
                <w:b w:val="0"/>
                <w:i w:val="0"/>
                <w:color w:val="000000"/>
                <w:sz w:val="9"/>
              </w:rPr>
              <w:t>专项普查活动</w:t>
            </w:r>
          </w:p>
        </w:tc>
        <w:tc>
          <w:tcPr>
            <w:tcW w:w="860" w:type="dxa"/>
            <w:vAlign w:val="center"/>
          </w:tcPr>
          <w:p>
            <w:pPr>
              <w:jc w:val="right"/>
            </w:pPr>
            <w:r>
              <w:rPr>
                <w:rFonts w:ascii="宋体" w:hAnsi="宋体" w:eastAsia="宋体" w:cs="宋体"/>
                <w:b w:val="0"/>
                <w:i w:val="0"/>
                <w:color w:val="000000"/>
                <w:sz w:val="9"/>
              </w:rPr>
              <w:t>132.89</w:t>
            </w:r>
          </w:p>
        </w:tc>
        <w:tc>
          <w:tcPr>
            <w:tcW w:w="900" w:type="dxa"/>
            <w:vAlign w:val="center"/>
          </w:tcPr>
          <w:p>
            <w:pPr>
              <w:jc w:val="right"/>
            </w:pPr>
            <w:r>
              <w:rPr>
                <w:rFonts w:ascii="宋体" w:hAnsi="宋体" w:eastAsia="宋体" w:cs="宋体"/>
                <w:b w:val="0"/>
                <w:i w:val="0"/>
                <w:color w:val="000000"/>
                <w:sz w:val="9"/>
              </w:rPr>
              <w:t>132.89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2010599</w:t>
            </w:r>
          </w:p>
        </w:tc>
        <w:tc>
          <w:tcPr>
            <w:tcW w:w="1420" w:type="dxa"/>
            <w:vAlign w:val="center"/>
          </w:tcPr>
          <w:p>
            <w:pPr>
              <w:jc w:val="left"/>
            </w:pPr>
            <w:r>
              <w:rPr>
                <w:rFonts w:ascii="宋体" w:hAnsi="宋体" w:eastAsia="宋体" w:cs="宋体"/>
                <w:b w:val="0"/>
                <w:i w:val="0"/>
                <w:color w:val="000000"/>
                <w:sz w:val="9"/>
              </w:rPr>
              <w:t>其他统计信息事务支出</w:t>
            </w:r>
          </w:p>
        </w:tc>
        <w:tc>
          <w:tcPr>
            <w:tcW w:w="860" w:type="dxa"/>
            <w:vAlign w:val="center"/>
          </w:tcPr>
          <w:p>
            <w:pPr>
              <w:jc w:val="right"/>
            </w:pPr>
            <w:r>
              <w:rPr>
                <w:rFonts w:ascii="宋体" w:hAnsi="宋体" w:eastAsia="宋体" w:cs="宋体"/>
                <w:b w:val="0"/>
                <w:i w:val="0"/>
                <w:color w:val="000000"/>
                <w:sz w:val="9"/>
              </w:rPr>
              <w:t>26.74</w:t>
            </w:r>
          </w:p>
        </w:tc>
        <w:tc>
          <w:tcPr>
            <w:tcW w:w="900" w:type="dxa"/>
            <w:vAlign w:val="center"/>
          </w:tcPr>
          <w:p>
            <w:pPr>
              <w:jc w:val="right"/>
            </w:pPr>
            <w:r>
              <w:rPr>
                <w:rFonts w:ascii="宋体" w:hAnsi="宋体" w:eastAsia="宋体" w:cs="宋体"/>
                <w:b w:val="0"/>
                <w:i w:val="0"/>
                <w:color w:val="000000"/>
                <w:sz w:val="9"/>
              </w:rPr>
              <w:t>26.74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110.01</w:t>
            </w:r>
          </w:p>
        </w:tc>
        <w:tc>
          <w:tcPr>
            <w:tcW w:w="900" w:type="dxa"/>
            <w:vAlign w:val="center"/>
          </w:tcPr>
          <w:p>
            <w:pPr>
              <w:jc w:val="right"/>
            </w:pPr>
            <w:r>
              <w:rPr>
                <w:rFonts w:ascii="宋体" w:hAnsi="宋体" w:eastAsia="宋体" w:cs="宋体"/>
                <w:b w:val="0"/>
                <w:i w:val="0"/>
                <w:color w:val="000000"/>
                <w:sz w:val="9"/>
              </w:rPr>
              <w:t>110.01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110.01</w:t>
            </w:r>
          </w:p>
        </w:tc>
        <w:tc>
          <w:tcPr>
            <w:tcW w:w="900" w:type="dxa"/>
            <w:vAlign w:val="center"/>
          </w:tcPr>
          <w:p>
            <w:pPr>
              <w:jc w:val="right"/>
            </w:pPr>
            <w:r>
              <w:rPr>
                <w:rFonts w:ascii="宋体" w:hAnsi="宋体" w:eastAsia="宋体" w:cs="宋体"/>
                <w:b w:val="0"/>
                <w:i w:val="0"/>
                <w:color w:val="000000"/>
                <w:sz w:val="9"/>
              </w:rPr>
              <w:t>110.01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2080501</w:t>
            </w:r>
          </w:p>
        </w:tc>
        <w:tc>
          <w:tcPr>
            <w:tcW w:w="1420" w:type="dxa"/>
            <w:vAlign w:val="center"/>
          </w:tcPr>
          <w:p>
            <w:pPr>
              <w:jc w:val="left"/>
            </w:pPr>
            <w:r>
              <w:rPr>
                <w:rFonts w:ascii="宋体" w:hAnsi="宋体" w:eastAsia="宋体" w:cs="宋体"/>
                <w:b w:val="0"/>
                <w:i w:val="0"/>
                <w:color w:val="000000"/>
                <w:sz w:val="9"/>
              </w:rPr>
              <w:t>行政单位离退休</w:t>
            </w:r>
          </w:p>
        </w:tc>
        <w:tc>
          <w:tcPr>
            <w:tcW w:w="860" w:type="dxa"/>
            <w:vAlign w:val="center"/>
          </w:tcPr>
          <w:p>
            <w:pPr>
              <w:jc w:val="right"/>
            </w:pPr>
            <w:r>
              <w:rPr>
                <w:rFonts w:ascii="宋体" w:hAnsi="宋体" w:eastAsia="宋体" w:cs="宋体"/>
                <w:b w:val="0"/>
                <w:i w:val="0"/>
                <w:color w:val="000000"/>
                <w:sz w:val="9"/>
              </w:rPr>
              <w:t>38.62</w:t>
            </w:r>
          </w:p>
        </w:tc>
        <w:tc>
          <w:tcPr>
            <w:tcW w:w="900" w:type="dxa"/>
            <w:vAlign w:val="center"/>
          </w:tcPr>
          <w:p>
            <w:pPr>
              <w:jc w:val="right"/>
            </w:pPr>
            <w:r>
              <w:rPr>
                <w:rFonts w:ascii="宋体" w:hAnsi="宋体" w:eastAsia="宋体" w:cs="宋体"/>
                <w:b w:val="0"/>
                <w:i w:val="0"/>
                <w:color w:val="000000"/>
                <w:sz w:val="9"/>
              </w:rPr>
              <w:t>38.62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36.39</w:t>
            </w:r>
          </w:p>
        </w:tc>
        <w:tc>
          <w:tcPr>
            <w:tcW w:w="900" w:type="dxa"/>
            <w:vAlign w:val="center"/>
          </w:tcPr>
          <w:p>
            <w:pPr>
              <w:jc w:val="right"/>
            </w:pPr>
            <w:r>
              <w:rPr>
                <w:rFonts w:ascii="宋体" w:hAnsi="宋体" w:eastAsia="宋体" w:cs="宋体"/>
                <w:b w:val="0"/>
                <w:i w:val="0"/>
                <w:color w:val="000000"/>
                <w:sz w:val="9"/>
              </w:rPr>
              <w:t>36.39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35.00</w:t>
            </w:r>
          </w:p>
        </w:tc>
        <w:tc>
          <w:tcPr>
            <w:tcW w:w="900" w:type="dxa"/>
            <w:vAlign w:val="center"/>
          </w:tcPr>
          <w:p>
            <w:pPr>
              <w:jc w:val="right"/>
            </w:pPr>
            <w:r>
              <w:rPr>
                <w:rFonts w:ascii="宋体" w:hAnsi="宋体" w:eastAsia="宋体" w:cs="宋体"/>
                <w:b w:val="0"/>
                <w:i w:val="0"/>
                <w:color w:val="000000"/>
                <w:sz w:val="9"/>
              </w:rPr>
              <w:t>35.00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w:t>
            </w:r>
          </w:p>
        </w:tc>
        <w:tc>
          <w:tcPr>
            <w:tcW w:w="1420" w:type="dxa"/>
            <w:vAlign w:val="center"/>
          </w:tcPr>
          <w:p>
            <w:pPr>
              <w:jc w:val="left"/>
            </w:pPr>
            <w:r>
              <w:rPr>
                <w:rFonts w:ascii="宋体" w:hAnsi="宋体" w:eastAsia="宋体" w:cs="宋体"/>
                <w:b w:val="0"/>
                <w:i w:val="0"/>
                <w:color w:val="000000"/>
                <w:sz w:val="9"/>
              </w:rPr>
              <w:t>巩固脱贫攻坚成果衔接乡村振兴</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2130599</w:t>
            </w:r>
          </w:p>
        </w:tc>
        <w:tc>
          <w:tcPr>
            <w:tcW w:w="1420" w:type="dxa"/>
            <w:vAlign w:val="center"/>
          </w:tcPr>
          <w:p>
            <w:pPr>
              <w:jc w:val="left"/>
            </w:pPr>
            <w:r>
              <w:rPr>
                <w:rFonts w:ascii="宋体" w:hAnsi="宋体" w:eastAsia="宋体" w:cs="宋体"/>
                <w:b w:val="0"/>
                <w:i w:val="0"/>
                <w:color w:val="000000"/>
                <w:sz w:val="9"/>
              </w:rPr>
              <w:t>其他巩固脱贫攻坚成果衔接乡村振兴支出</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17.98</w:t>
            </w:r>
          </w:p>
        </w:tc>
        <w:tc>
          <w:tcPr>
            <w:tcW w:w="900" w:type="dxa"/>
            <w:vAlign w:val="center"/>
          </w:tcPr>
          <w:p>
            <w:pPr>
              <w:jc w:val="right"/>
            </w:pPr>
            <w:r>
              <w:rPr>
                <w:rFonts w:ascii="宋体" w:hAnsi="宋体" w:eastAsia="宋体" w:cs="宋体"/>
                <w:b w:val="0"/>
                <w:i w:val="0"/>
                <w:color w:val="000000"/>
                <w:sz w:val="9"/>
              </w:rPr>
              <w:t>17.98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17.98</w:t>
            </w:r>
          </w:p>
        </w:tc>
        <w:tc>
          <w:tcPr>
            <w:tcW w:w="900" w:type="dxa"/>
            <w:vAlign w:val="center"/>
          </w:tcPr>
          <w:p>
            <w:pPr>
              <w:jc w:val="right"/>
            </w:pPr>
            <w:r>
              <w:rPr>
                <w:rFonts w:ascii="宋体" w:hAnsi="宋体" w:eastAsia="宋体" w:cs="宋体"/>
                <w:b w:val="0"/>
                <w:i w:val="0"/>
                <w:color w:val="000000"/>
                <w:sz w:val="9"/>
              </w:rPr>
              <w:t>17.98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17.98</w:t>
            </w:r>
          </w:p>
        </w:tc>
        <w:tc>
          <w:tcPr>
            <w:tcW w:w="900" w:type="dxa"/>
            <w:vAlign w:val="center"/>
          </w:tcPr>
          <w:p>
            <w:pPr>
              <w:jc w:val="right"/>
            </w:pPr>
            <w:r>
              <w:rPr>
                <w:rFonts w:ascii="宋体" w:hAnsi="宋体" w:eastAsia="宋体" w:cs="宋体"/>
                <w:b w:val="0"/>
                <w:i w:val="0"/>
                <w:color w:val="000000"/>
                <w:sz w:val="9"/>
              </w:rPr>
              <w:t>17.98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696.11</w:t>
            </w:r>
          </w:p>
        </w:tc>
        <w:tc>
          <w:tcPr>
            <w:tcW w:w="1000" w:type="dxa"/>
            <w:vAlign w:val="center"/>
          </w:tcPr>
          <w:p>
            <w:pPr>
              <w:jc w:val="right"/>
            </w:pPr>
            <w:r>
              <w:rPr>
                <w:rFonts w:ascii="宋体" w:hAnsi="宋体" w:eastAsia="宋体" w:cs="宋体"/>
                <w:b w:val="0"/>
                <w:i w:val="0"/>
                <w:color w:val="000000"/>
                <w:sz w:val="11"/>
              </w:rPr>
              <w:t>488.53</w:t>
            </w:r>
          </w:p>
        </w:tc>
        <w:tc>
          <w:tcPr>
            <w:tcW w:w="980" w:type="dxa"/>
            <w:vAlign w:val="center"/>
          </w:tcPr>
          <w:p>
            <w:pPr>
              <w:jc w:val="right"/>
            </w:pPr>
            <w:r>
              <w:rPr>
                <w:rFonts w:ascii="宋体" w:hAnsi="宋体" w:eastAsia="宋体" w:cs="宋体"/>
                <w:b w:val="0"/>
                <w:i w:val="0"/>
                <w:color w:val="000000"/>
                <w:sz w:val="11"/>
              </w:rPr>
              <w:t>207.58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562.11</w:t>
            </w:r>
          </w:p>
        </w:tc>
        <w:tc>
          <w:tcPr>
            <w:tcW w:w="1000" w:type="dxa"/>
            <w:vAlign w:val="center"/>
          </w:tcPr>
          <w:p>
            <w:pPr>
              <w:jc w:val="right"/>
            </w:pPr>
            <w:r>
              <w:rPr>
                <w:rFonts w:ascii="宋体" w:hAnsi="宋体" w:eastAsia="宋体" w:cs="宋体"/>
                <w:b w:val="0"/>
                <w:i w:val="0"/>
                <w:color w:val="000000"/>
                <w:sz w:val="11"/>
              </w:rPr>
              <w:t>360.54</w:t>
            </w:r>
          </w:p>
        </w:tc>
        <w:tc>
          <w:tcPr>
            <w:tcW w:w="980" w:type="dxa"/>
            <w:vAlign w:val="center"/>
          </w:tcPr>
          <w:p>
            <w:pPr>
              <w:jc w:val="right"/>
            </w:pPr>
            <w:r>
              <w:rPr>
                <w:rFonts w:ascii="宋体" w:hAnsi="宋体" w:eastAsia="宋体" w:cs="宋体"/>
                <w:b w:val="0"/>
                <w:i w:val="0"/>
                <w:color w:val="000000"/>
                <w:sz w:val="11"/>
              </w:rPr>
              <w:t>201.58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20105</w:t>
            </w:r>
          </w:p>
        </w:tc>
        <w:tc>
          <w:tcPr>
            <w:tcW w:w="1760" w:type="dxa"/>
            <w:vAlign w:val="center"/>
          </w:tcPr>
          <w:p>
            <w:pPr>
              <w:jc w:val="left"/>
            </w:pPr>
            <w:r>
              <w:rPr>
                <w:rFonts w:ascii="宋体" w:hAnsi="宋体" w:eastAsia="宋体" w:cs="宋体"/>
                <w:b w:val="0"/>
                <w:i w:val="0"/>
                <w:color w:val="000000"/>
                <w:sz w:val="11"/>
              </w:rPr>
              <w:t>统计信息事务</w:t>
            </w:r>
          </w:p>
        </w:tc>
        <w:tc>
          <w:tcPr>
            <w:tcW w:w="940" w:type="dxa"/>
            <w:vAlign w:val="center"/>
          </w:tcPr>
          <w:p>
            <w:pPr>
              <w:jc w:val="right"/>
            </w:pPr>
            <w:r>
              <w:rPr>
                <w:rFonts w:ascii="宋体" w:hAnsi="宋体" w:eastAsia="宋体" w:cs="宋体"/>
                <w:b w:val="0"/>
                <w:i w:val="0"/>
                <w:color w:val="000000"/>
                <w:sz w:val="11"/>
              </w:rPr>
              <w:t>562.11</w:t>
            </w:r>
          </w:p>
        </w:tc>
        <w:tc>
          <w:tcPr>
            <w:tcW w:w="1000" w:type="dxa"/>
            <w:vAlign w:val="center"/>
          </w:tcPr>
          <w:p>
            <w:pPr>
              <w:jc w:val="right"/>
            </w:pPr>
            <w:r>
              <w:rPr>
                <w:rFonts w:ascii="宋体" w:hAnsi="宋体" w:eastAsia="宋体" w:cs="宋体"/>
                <w:b w:val="0"/>
                <w:i w:val="0"/>
                <w:color w:val="000000"/>
                <w:sz w:val="11"/>
              </w:rPr>
              <w:t>360.54</w:t>
            </w:r>
          </w:p>
        </w:tc>
        <w:tc>
          <w:tcPr>
            <w:tcW w:w="980" w:type="dxa"/>
            <w:vAlign w:val="center"/>
          </w:tcPr>
          <w:p>
            <w:pPr>
              <w:jc w:val="right"/>
            </w:pPr>
            <w:r>
              <w:rPr>
                <w:rFonts w:ascii="宋体" w:hAnsi="宋体" w:eastAsia="宋体" w:cs="宋体"/>
                <w:b w:val="0"/>
                <w:i w:val="0"/>
                <w:color w:val="000000"/>
                <w:sz w:val="11"/>
              </w:rPr>
              <w:t>201.58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2010501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360.54</w:t>
            </w:r>
          </w:p>
        </w:tc>
        <w:tc>
          <w:tcPr>
            <w:tcW w:w="1000" w:type="dxa"/>
            <w:vAlign w:val="center"/>
          </w:tcPr>
          <w:p>
            <w:pPr>
              <w:jc w:val="right"/>
            </w:pPr>
            <w:r>
              <w:rPr>
                <w:rFonts w:ascii="宋体" w:hAnsi="宋体" w:eastAsia="宋体" w:cs="宋体"/>
                <w:b w:val="0"/>
                <w:i w:val="0"/>
                <w:color w:val="000000"/>
                <w:sz w:val="11"/>
              </w:rPr>
              <w:t>360.54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2010505</w:t>
            </w:r>
          </w:p>
        </w:tc>
        <w:tc>
          <w:tcPr>
            <w:tcW w:w="1760" w:type="dxa"/>
            <w:vAlign w:val="center"/>
          </w:tcPr>
          <w:p>
            <w:pPr>
              <w:jc w:val="left"/>
            </w:pPr>
            <w:r>
              <w:rPr>
                <w:rFonts w:ascii="宋体" w:hAnsi="宋体" w:eastAsia="宋体" w:cs="宋体"/>
                <w:b w:val="0"/>
                <w:i w:val="0"/>
                <w:color w:val="000000"/>
                <w:sz w:val="11"/>
              </w:rPr>
              <w:t>专项统计业务</w:t>
            </w:r>
          </w:p>
        </w:tc>
        <w:tc>
          <w:tcPr>
            <w:tcW w:w="940" w:type="dxa"/>
            <w:vAlign w:val="center"/>
          </w:tcPr>
          <w:p>
            <w:pPr>
              <w:jc w:val="right"/>
            </w:pPr>
            <w:r>
              <w:rPr>
                <w:rFonts w:ascii="宋体" w:hAnsi="宋体" w:eastAsia="宋体" w:cs="宋体"/>
                <w:b w:val="0"/>
                <w:i w:val="0"/>
                <w:color w:val="000000"/>
                <w:sz w:val="11"/>
              </w:rPr>
              <w:t>41.94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2010507</w:t>
            </w:r>
          </w:p>
        </w:tc>
        <w:tc>
          <w:tcPr>
            <w:tcW w:w="1760" w:type="dxa"/>
            <w:vAlign w:val="center"/>
          </w:tcPr>
          <w:p>
            <w:pPr>
              <w:jc w:val="left"/>
            </w:pPr>
            <w:r>
              <w:rPr>
                <w:rFonts w:ascii="宋体" w:hAnsi="宋体" w:eastAsia="宋体" w:cs="宋体"/>
                <w:b w:val="0"/>
                <w:i w:val="0"/>
                <w:color w:val="000000"/>
                <w:sz w:val="11"/>
              </w:rPr>
              <w:t>专项普查活动</w:t>
            </w:r>
          </w:p>
        </w:tc>
        <w:tc>
          <w:tcPr>
            <w:tcW w:w="940" w:type="dxa"/>
            <w:vAlign w:val="center"/>
          </w:tcPr>
          <w:p>
            <w:pPr>
              <w:jc w:val="right"/>
            </w:pPr>
            <w:r>
              <w:rPr>
                <w:rFonts w:ascii="宋体" w:hAnsi="宋体" w:eastAsia="宋体" w:cs="宋体"/>
                <w:b w:val="0"/>
                <w:i w:val="0"/>
                <w:color w:val="000000"/>
                <w:sz w:val="11"/>
              </w:rPr>
              <w:t>132.89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132.89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2010599</w:t>
            </w:r>
          </w:p>
        </w:tc>
        <w:tc>
          <w:tcPr>
            <w:tcW w:w="1760" w:type="dxa"/>
            <w:vAlign w:val="center"/>
          </w:tcPr>
          <w:p>
            <w:pPr>
              <w:jc w:val="left"/>
            </w:pPr>
            <w:r>
              <w:rPr>
                <w:rFonts w:ascii="宋体" w:hAnsi="宋体" w:eastAsia="宋体" w:cs="宋体"/>
                <w:b w:val="0"/>
                <w:i w:val="0"/>
                <w:color w:val="000000"/>
                <w:sz w:val="11"/>
              </w:rPr>
              <w:t>其他统计信息事务支出</w:t>
            </w:r>
          </w:p>
        </w:tc>
        <w:tc>
          <w:tcPr>
            <w:tcW w:w="940" w:type="dxa"/>
            <w:vAlign w:val="center"/>
          </w:tcPr>
          <w:p>
            <w:pPr>
              <w:jc w:val="right"/>
            </w:pPr>
            <w:r>
              <w:rPr>
                <w:rFonts w:ascii="宋体" w:hAnsi="宋体" w:eastAsia="宋体" w:cs="宋体"/>
                <w:b w:val="0"/>
                <w:i w:val="0"/>
                <w:color w:val="000000"/>
                <w:sz w:val="11"/>
              </w:rPr>
              <w:t>26.74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26.74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110.01</w:t>
            </w:r>
          </w:p>
        </w:tc>
        <w:tc>
          <w:tcPr>
            <w:tcW w:w="1000" w:type="dxa"/>
            <w:vAlign w:val="center"/>
          </w:tcPr>
          <w:p>
            <w:pPr>
              <w:jc w:val="right"/>
            </w:pPr>
            <w:r>
              <w:rPr>
                <w:rFonts w:ascii="宋体" w:hAnsi="宋体" w:eastAsia="宋体" w:cs="宋体"/>
                <w:b w:val="0"/>
                <w:i w:val="0"/>
                <w:color w:val="000000"/>
                <w:sz w:val="11"/>
              </w:rPr>
              <w:t>110.01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110.01</w:t>
            </w:r>
          </w:p>
        </w:tc>
        <w:tc>
          <w:tcPr>
            <w:tcW w:w="1000" w:type="dxa"/>
            <w:vAlign w:val="center"/>
          </w:tcPr>
          <w:p>
            <w:pPr>
              <w:jc w:val="right"/>
            </w:pPr>
            <w:r>
              <w:rPr>
                <w:rFonts w:ascii="宋体" w:hAnsi="宋体" w:eastAsia="宋体" w:cs="宋体"/>
                <w:b w:val="0"/>
                <w:i w:val="0"/>
                <w:color w:val="000000"/>
                <w:sz w:val="11"/>
              </w:rPr>
              <w:t>110.01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2080501</w:t>
            </w:r>
          </w:p>
        </w:tc>
        <w:tc>
          <w:tcPr>
            <w:tcW w:w="1760" w:type="dxa"/>
            <w:vAlign w:val="center"/>
          </w:tcPr>
          <w:p>
            <w:pPr>
              <w:jc w:val="left"/>
            </w:pPr>
            <w:r>
              <w:rPr>
                <w:rFonts w:ascii="宋体" w:hAnsi="宋体" w:eastAsia="宋体" w:cs="宋体"/>
                <w:b w:val="0"/>
                <w:i w:val="0"/>
                <w:color w:val="000000"/>
                <w:sz w:val="11"/>
              </w:rPr>
              <w:t>行政单位离退休</w:t>
            </w:r>
          </w:p>
        </w:tc>
        <w:tc>
          <w:tcPr>
            <w:tcW w:w="940" w:type="dxa"/>
            <w:vAlign w:val="center"/>
          </w:tcPr>
          <w:p>
            <w:pPr>
              <w:jc w:val="right"/>
            </w:pPr>
            <w:r>
              <w:rPr>
                <w:rFonts w:ascii="宋体" w:hAnsi="宋体" w:eastAsia="宋体" w:cs="宋体"/>
                <w:b w:val="0"/>
                <w:i w:val="0"/>
                <w:color w:val="000000"/>
                <w:sz w:val="11"/>
              </w:rPr>
              <w:t>38.62</w:t>
            </w:r>
          </w:p>
        </w:tc>
        <w:tc>
          <w:tcPr>
            <w:tcW w:w="1000" w:type="dxa"/>
            <w:vAlign w:val="center"/>
          </w:tcPr>
          <w:p>
            <w:pPr>
              <w:jc w:val="right"/>
            </w:pPr>
            <w:r>
              <w:rPr>
                <w:rFonts w:ascii="宋体" w:hAnsi="宋体" w:eastAsia="宋体" w:cs="宋体"/>
                <w:b w:val="0"/>
                <w:i w:val="0"/>
                <w:color w:val="000000"/>
                <w:sz w:val="11"/>
              </w:rPr>
              <w:t>38.62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36.39</w:t>
            </w:r>
          </w:p>
        </w:tc>
        <w:tc>
          <w:tcPr>
            <w:tcW w:w="1000" w:type="dxa"/>
            <w:vAlign w:val="center"/>
          </w:tcPr>
          <w:p>
            <w:pPr>
              <w:jc w:val="right"/>
            </w:pPr>
            <w:r>
              <w:rPr>
                <w:rFonts w:ascii="宋体" w:hAnsi="宋体" w:eastAsia="宋体" w:cs="宋体"/>
                <w:b w:val="0"/>
                <w:i w:val="0"/>
                <w:color w:val="000000"/>
                <w:sz w:val="11"/>
              </w:rPr>
              <w:t>36.39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35.00</w:t>
            </w:r>
          </w:p>
        </w:tc>
        <w:tc>
          <w:tcPr>
            <w:tcW w:w="1000" w:type="dxa"/>
            <w:vAlign w:val="center"/>
          </w:tcPr>
          <w:p>
            <w:pPr>
              <w:jc w:val="right"/>
            </w:pPr>
            <w:r>
              <w:rPr>
                <w:rFonts w:ascii="宋体" w:hAnsi="宋体" w:eastAsia="宋体" w:cs="宋体"/>
                <w:b w:val="0"/>
                <w:i w:val="0"/>
                <w:color w:val="000000"/>
                <w:sz w:val="11"/>
              </w:rPr>
              <w:t>35.00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w:t>
            </w:r>
          </w:p>
        </w:tc>
        <w:tc>
          <w:tcPr>
            <w:tcW w:w="1760" w:type="dxa"/>
            <w:vAlign w:val="center"/>
          </w:tcPr>
          <w:p>
            <w:pPr>
              <w:jc w:val="left"/>
            </w:pPr>
            <w:r>
              <w:rPr>
                <w:rFonts w:ascii="宋体" w:hAnsi="宋体" w:eastAsia="宋体" w:cs="宋体"/>
                <w:b w:val="0"/>
                <w:i w:val="0"/>
                <w:color w:val="000000"/>
                <w:sz w:val="11"/>
              </w:rPr>
              <w:t>巩固脱贫攻坚成果衔接乡村振兴</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2130599</w:t>
            </w:r>
          </w:p>
        </w:tc>
        <w:tc>
          <w:tcPr>
            <w:tcW w:w="1760" w:type="dxa"/>
            <w:vAlign w:val="center"/>
          </w:tcPr>
          <w:p>
            <w:pPr>
              <w:jc w:val="left"/>
            </w:pPr>
            <w:r>
              <w:rPr>
                <w:rFonts w:ascii="宋体" w:hAnsi="宋体" w:eastAsia="宋体" w:cs="宋体"/>
                <w:b w:val="0"/>
                <w:i w:val="0"/>
                <w:color w:val="000000"/>
                <w:sz w:val="11"/>
              </w:rPr>
              <w:t>其他巩固脱贫攻坚成果衔接乡村振兴支出</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17.98</w:t>
            </w:r>
          </w:p>
        </w:tc>
        <w:tc>
          <w:tcPr>
            <w:tcW w:w="1000" w:type="dxa"/>
            <w:vAlign w:val="center"/>
          </w:tcPr>
          <w:p>
            <w:pPr>
              <w:jc w:val="right"/>
            </w:pPr>
            <w:r>
              <w:rPr>
                <w:rFonts w:ascii="宋体" w:hAnsi="宋体" w:eastAsia="宋体" w:cs="宋体"/>
                <w:b w:val="0"/>
                <w:i w:val="0"/>
                <w:color w:val="000000"/>
                <w:sz w:val="11"/>
              </w:rPr>
              <w:t>17.98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17.98</w:t>
            </w:r>
          </w:p>
        </w:tc>
        <w:tc>
          <w:tcPr>
            <w:tcW w:w="1000" w:type="dxa"/>
            <w:vAlign w:val="center"/>
          </w:tcPr>
          <w:p>
            <w:pPr>
              <w:jc w:val="right"/>
            </w:pPr>
            <w:r>
              <w:rPr>
                <w:rFonts w:ascii="宋体" w:hAnsi="宋体" w:eastAsia="宋体" w:cs="宋体"/>
                <w:b w:val="0"/>
                <w:i w:val="0"/>
                <w:color w:val="000000"/>
                <w:sz w:val="11"/>
              </w:rPr>
              <w:t>17.98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17.98</w:t>
            </w:r>
          </w:p>
        </w:tc>
        <w:tc>
          <w:tcPr>
            <w:tcW w:w="1000" w:type="dxa"/>
            <w:vAlign w:val="center"/>
          </w:tcPr>
          <w:p>
            <w:pPr>
              <w:jc w:val="right"/>
            </w:pPr>
            <w:r>
              <w:rPr>
                <w:rFonts w:ascii="宋体" w:hAnsi="宋体" w:eastAsia="宋体" w:cs="宋体"/>
                <w:b w:val="0"/>
                <w:i w:val="0"/>
                <w:color w:val="000000"/>
                <w:sz w:val="11"/>
              </w:rPr>
              <w:t>17.98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696.11</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562.11</w:t>
            </w:r>
          </w:p>
        </w:tc>
        <w:tc>
          <w:tcPr>
            <w:tcW w:w="1460" w:type="dxa"/>
            <w:vAlign w:val="center"/>
          </w:tcPr>
          <w:p>
            <w:pPr>
              <w:jc w:val="right"/>
            </w:pPr>
            <w:r>
              <w:rPr>
                <w:rFonts w:ascii="宋体" w:hAnsi="宋体" w:eastAsia="宋体" w:cs="宋体"/>
                <w:b w:val="0"/>
                <w:i w:val="0"/>
                <w:color w:val="000000"/>
                <w:sz w:val="17"/>
              </w:rPr>
              <w:t>562.11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110.01</w:t>
            </w:r>
          </w:p>
        </w:tc>
        <w:tc>
          <w:tcPr>
            <w:tcW w:w="1460" w:type="dxa"/>
            <w:vAlign w:val="center"/>
          </w:tcPr>
          <w:p>
            <w:pPr>
              <w:jc w:val="right"/>
            </w:pPr>
            <w:r>
              <w:rPr>
                <w:rFonts w:ascii="宋体" w:hAnsi="宋体" w:eastAsia="宋体" w:cs="宋体"/>
                <w:b w:val="0"/>
                <w:i w:val="0"/>
                <w:color w:val="000000"/>
                <w:sz w:val="17"/>
              </w:rPr>
              <w:t>110.01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6.00</w:t>
            </w:r>
          </w:p>
        </w:tc>
        <w:tc>
          <w:tcPr>
            <w:tcW w:w="1460" w:type="dxa"/>
            <w:vAlign w:val="center"/>
          </w:tcPr>
          <w:p>
            <w:pPr>
              <w:jc w:val="right"/>
            </w:pPr>
            <w:r>
              <w:rPr>
                <w:rFonts w:ascii="宋体" w:hAnsi="宋体" w:eastAsia="宋体" w:cs="宋体"/>
                <w:b w:val="0"/>
                <w:i w:val="0"/>
                <w:color w:val="000000"/>
                <w:sz w:val="17"/>
              </w:rPr>
              <w:t>6.00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17.98</w:t>
            </w:r>
          </w:p>
        </w:tc>
        <w:tc>
          <w:tcPr>
            <w:tcW w:w="1460" w:type="dxa"/>
            <w:vAlign w:val="center"/>
          </w:tcPr>
          <w:p>
            <w:pPr>
              <w:jc w:val="right"/>
            </w:pPr>
            <w:r>
              <w:rPr>
                <w:rFonts w:ascii="宋体" w:hAnsi="宋体" w:eastAsia="宋体" w:cs="宋体"/>
                <w:b w:val="0"/>
                <w:i w:val="0"/>
                <w:color w:val="000000"/>
                <w:sz w:val="17"/>
              </w:rPr>
              <w:t>17.98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696.11</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696.11</w:t>
            </w:r>
          </w:p>
        </w:tc>
        <w:tc>
          <w:tcPr>
            <w:tcW w:w="1460" w:type="dxa"/>
            <w:vAlign w:val="center"/>
          </w:tcPr>
          <w:p>
            <w:pPr>
              <w:jc w:val="right"/>
            </w:pPr>
            <w:r>
              <w:rPr>
                <w:rFonts w:ascii="宋体" w:hAnsi="宋体" w:eastAsia="宋体" w:cs="宋体"/>
                <w:b w:val="0"/>
                <w:i w:val="0"/>
                <w:color w:val="000000"/>
                <w:sz w:val="17"/>
              </w:rPr>
              <w:t>696.11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696.11</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696.11</w:t>
            </w:r>
          </w:p>
        </w:tc>
        <w:tc>
          <w:tcPr>
            <w:tcW w:w="1460" w:type="dxa"/>
            <w:vAlign w:val="center"/>
          </w:tcPr>
          <w:p>
            <w:pPr>
              <w:jc w:val="right"/>
            </w:pPr>
            <w:r>
              <w:rPr>
                <w:rFonts w:ascii="宋体" w:hAnsi="宋体" w:eastAsia="宋体" w:cs="宋体"/>
                <w:b w:val="0"/>
                <w:i w:val="0"/>
                <w:color w:val="000000"/>
                <w:sz w:val="17"/>
              </w:rPr>
              <w:t>696.11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696.11</w:t>
            </w:r>
          </w:p>
        </w:tc>
        <w:tc>
          <w:tcPr>
            <w:tcW w:w="1520" w:type="dxa"/>
            <w:vAlign w:val="center"/>
          </w:tcPr>
          <w:p>
            <w:pPr>
              <w:jc w:val="right"/>
            </w:pPr>
            <w:r>
              <w:rPr>
                <w:rFonts w:ascii="宋体" w:hAnsi="宋体" w:eastAsia="宋体" w:cs="宋体"/>
                <w:b w:val="0"/>
                <w:i w:val="0"/>
                <w:color w:val="000000"/>
                <w:sz w:val="16"/>
              </w:rPr>
              <w:t>488.53</w:t>
            </w:r>
          </w:p>
        </w:tc>
        <w:tc>
          <w:tcPr>
            <w:tcW w:w="1526" w:type="dxa"/>
            <w:vAlign w:val="center"/>
          </w:tcPr>
          <w:p>
            <w:pPr>
              <w:jc w:val="right"/>
            </w:pPr>
            <w:r>
              <w:rPr>
                <w:rFonts w:ascii="宋体" w:hAnsi="宋体" w:eastAsia="宋体" w:cs="宋体"/>
                <w:b w:val="0"/>
                <w:i w:val="0"/>
                <w:color w:val="000000"/>
                <w:sz w:val="16"/>
              </w:rPr>
              <w:t>207.58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562.11</w:t>
            </w:r>
          </w:p>
        </w:tc>
        <w:tc>
          <w:tcPr>
            <w:tcW w:w="1520" w:type="dxa"/>
            <w:vAlign w:val="center"/>
          </w:tcPr>
          <w:p>
            <w:pPr>
              <w:jc w:val="right"/>
            </w:pPr>
            <w:r>
              <w:rPr>
                <w:rFonts w:ascii="宋体" w:hAnsi="宋体" w:eastAsia="宋体" w:cs="宋体"/>
                <w:b w:val="0"/>
                <w:i w:val="0"/>
                <w:color w:val="000000"/>
                <w:sz w:val="16"/>
              </w:rPr>
              <w:t>360.54</w:t>
            </w:r>
          </w:p>
        </w:tc>
        <w:tc>
          <w:tcPr>
            <w:tcW w:w="1526" w:type="dxa"/>
            <w:vAlign w:val="center"/>
          </w:tcPr>
          <w:p>
            <w:pPr>
              <w:jc w:val="right"/>
            </w:pPr>
            <w:r>
              <w:rPr>
                <w:rFonts w:ascii="宋体" w:hAnsi="宋体" w:eastAsia="宋体" w:cs="宋体"/>
                <w:b w:val="0"/>
                <w:i w:val="0"/>
                <w:color w:val="000000"/>
                <w:sz w:val="16"/>
              </w:rPr>
              <w:t>201.58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20105</w:t>
            </w:r>
          </w:p>
        </w:tc>
        <w:tc>
          <w:tcPr>
            <w:tcW w:w="2700" w:type="dxa"/>
            <w:vAlign w:val="center"/>
          </w:tcPr>
          <w:p>
            <w:pPr>
              <w:jc w:val="left"/>
            </w:pPr>
            <w:r>
              <w:rPr>
                <w:rFonts w:ascii="宋体" w:hAnsi="宋体" w:eastAsia="宋体" w:cs="宋体"/>
                <w:b w:val="0"/>
                <w:i w:val="0"/>
                <w:color w:val="000000"/>
                <w:sz w:val="16"/>
              </w:rPr>
              <w:t>统计信息事务</w:t>
            </w:r>
          </w:p>
        </w:tc>
        <w:tc>
          <w:tcPr>
            <w:tcW w:w="1420" w:type="dxa"/>
            <w:vAlign w:val="center"/>
          </w:tcPr>
          <w:p>
            <w:pPr>
              <w:jc w:val="right"/>
            </w:pPr>
            <w:r>
              <w:rPr>
                <w:rFonts w:ascii="宋体" w:hAnsi="宋体" w:eastAsia="宋体" w:cs="宋体"/>
                <w:b w:val="0"/>
                <w:i w:val="0"/>
                <w:color w:val="000000"/>
                <w:sz w:val="16"/>
              </w:rPr>
              <w:t>562.11</w:t>
            </w:r>
          </w:p>
        </w:tc>
        <w:tc>
          <w:tcPr>
            <w:tcW w:w="1520" w:type="dxa"/>
            <w:vAlign w:val="center"/>
          </w:tcPr>
          <w:p>
            <w:pPr>
              <w:jc w:val="right"/>
            </w:pPr>
            <w:r>
              <w:rPr>
                <w:rFonts w:ascii="宋体" w:hAnsi="宋体" w:eastAsia="宋体" w:cs="宋体"/>
                <w:b w:val="0"/>
                <w:i w:val="0"/>
                <w:color w:val="000000"/>
                <w:sz w:val="16"/>
              </w:rPr>
              <w:t>360.54</w:t>
            </w:r>
          </w:p>
        </w:tc>
        <w:tc>
          <w:tcPr>
            <w:tcW w:w="1526" w:type="dxa"/>
            <w:vAlign w:val="center"/>
          </w:tcPr>
          <w:p>
            <w:pPr>
              <w:jc w:val="right"/>
            </w:pPr>
            <w:r>
              <w:rPr>
                <w:rFonts w:ascii="宋体" w:hAnsi="宋体" w:eastAsia="宋体" w:cs="宋体"/>
                <w:b w:val="0"/>
                <w:i w:val="0"/>
                <w:color w:val="000000"/>
                <w:sz w:val="16"/>
              </w:rPr>
              <w:t>201.58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2010501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360.54</w:t>
            </w:r>
          </w:p>
        </w:tc>
        <w:tc>
          <w:tcPr>
            <w:tcW w:w="1520" w:type="dxa"/>
            <w:vAlign w:val="center"/>
          </w:tcPr>
          <w:p>
            <w:pPr>
              <w:jc w:val="right"/>
            </w:pPr>
            <w:r>
              <w:rPr>
                <w:rFonts w:ascii="宋体" w:hAnsi="宋体" w:eastAsia="宋体" w:cs="宋体"/>
                <w:b w:val="0"/>
                <w:i w:val="0"/>
                <w:color w:val="000000"/>
                <w:sz w:val="16"/>
              </w:rPr>
              <w:t>360.54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2010505</w:t>
            </w:r>
          </w:p>
        </w:tc>
        <w:tc>
          <w:tcPr>
            <w:tcW w:w="2700" w:type="dxa"/>
            <w:vAlign w:val="center"/>
          </w:tcPr>
          <w:p>
            <w:pPr>
              <w:jc w:val="left"/>
            </w:pPr>
            <w:r>
              <w:rPr>
                <w:rFonts w:ascii="宋体" w:hAnsi="宋体" w:eastAsia="宋体" w:cs="宋体"/>
                <w:b w:val="0"/>
                <w:i w:val="0"/>
                <w:color w:val="000000"/>
                <w:sz w:val="16"/>
              </w:rPr>
              <w:t>专项统计业务</w:t>
            </w:r>
          </w:p>
        </w:tc>
        <w:tc>
          <w:tcPr>
            <w:tcW w:w="1420" w:type="dxa"/>
            <w:vAlign w:val="center"/>
          </w:tcPr>
          <w:p>
            <w:pPr>
              <w:jc w:val="right"/>
            </w:pPr>
            <w:r>
              <w:rPr>
                <w:rFonts w:ascii="宋体" w:hAnsi="宋体" w:eastAsia="宋体" w:cs="宋体"/>
                <w:b w:val="0"/>
                <w:i w:val="0"/>
                <w:color w:val="000000"/>
                <w:sz w:val="16"/>
              </w:rPr>
              <w:t>41.94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2010507</w:t>
            </w:r>
          </w:p>
        </w:tc>
        <w:tc>
          <w:tcPr>
            <w:tcW w:w="2700" w:type="dxa"/>
            <w:vAlign w:val="center"/>
          </w:tcPr>
          <w:p>
            <w:pPr>
              <w:jc w:val="left"/>
            </w:pPr>
            <w:r>
              <w:rPr>
                <w:rFonts w:ascii="宋体" w:hAnsi="宋体" w:eastAsia="宋体" w:cs="宋体"/>
                <w:b w:val="0"/>
                <w:i w:val="0"/>
                <w:color w:val="000000"/>
                <w:sz w:val="16"/>
              </w:rPr>
              <w:t>专项普查活动</w:t>
            </w:r>
          </w:p>
        </w:tc>
        <w:tc>
          <w:tcPr>
            <w:tcW w:w="1420" w:type="dxa"/>
            <w:vAlign w:val="center"/>
          </w:tcPr>
          <w:p>
            <w:pPr>
              <w:jc w:val="right"/>
            </w:pPr>
            <w:r>
              <w:rPr>
                <w:rFonts w:ascii="宋体" w:hAnsi="宋体" w:eastAsia="宋体" w:cs="宋体"/>
                <w:b w:val="0"/>
                <w:i w:val="0"/>
                <w:color w:val="000000"/>
                <w:sz w:val="16"/>
              </w:rPr>
              <w:t>132.89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132.89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2010599</w:t>
            </w:r>
          </w:p>
        </w:tc>
        <w:tc>
          <w:tcPr>
            <w:tcW w:w="2700" w:type="dxa"/>
            <w:vAlign w:val="center"/>
          </w:tcPr>
          <w:p>
            <w:pPr>
              <w:jc w:val="left"/>
            </w:pPr>
            <w:r>
              <w:rPr>
                <w:rFonts w:ascii="宋体" w:hAnsi="宋体" w:eastAsia="宋体" w:cs="宋体"/>
                <w:b w:val="0"/>
                <w:i w:val="0"/>
                <w:color w:val="000000"/>
                <w:sz w:val="16"/>
              </w:rPr>
              <w:t>其他统计信息事务支出</w:t>
            </w:r>
          </w:p>
        </w:tc>
        <w:tc>
          <w:tcPr>
            <w:tcW w:w="1420" w:type="dxa"/>
            <w:vAlign w:val="center"/>
          </w:tcPr>
          <w:p>
            <w:pPr>
              <w:jc w:val="right"/>
            </w:pPr>
            <w:r>
              <w:rPr>
                <w:rFonts w:ascii="宋体" w:hAnsi="宋体" w:eastAsia="宋体" w:cs="宋体"/>
                <w:b w:val="0"/>
                <w:i w:val="0"/>
                <w:color w:val="000000"/>
                <w:sz w:val="16"/>
              </w:rPr>
              <w:t>26.74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26.74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110.01</w:t>
            </w:r>
          </w:p>
        </w:tc>
        <w:tc>
          <w:tcPr>
            <w:tcW w:w="1520" w:type="dxa"/>
            <w:vAlign w:val="center"/>
          </w:tcPr>
          <w:p>
            <w:pPr>
              <w:jc w:val="right"/>
            </w:pPr>
            <w:r>
              <w:rPr>
                <w:rFonts w:ascii="宋体" w:hAnsi="宋体" w:eastAsia="宋体" w:cs="宋体"/>
                <w:b w:val="0"/>
                <w:i w:val="0"/>
                <w:color w:val="000000"/>
                <w:sz w:val="16"/>
              </w:rPr>
              <w:t>110.01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110.01</w:t>
            </w:r>
          </w:p>
        </w:tc>
        <w:tc>
          <w:tcPr>
            <w:tcW w:w="1520" w:type="dxa"/>
            <w:vAlign w:val="center"/>
          </w:tcPr>
          <w:p>
            <w:pPr>
              <w:jc w:val="right"/>
            </w:pPr>
            <w:r>
              <w:rPr>
                <w:rFonts w:ascii="宋体" w:hAnsi="宋体" w:eastAsia="宋体" w:cs="宋体"/>
                <w:b w:val="0"/>
                <w:i w:val="0"/>
                <w:color w:val="000000"/>
                <w:sz w:val="16"/>
              </w:rPr>
              <w:t>110.01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2080501</w:t>
            </w:r>
          </w:p>
        </w:tc>
        <w:tc>
          <w:tcPr>
            <w:tcW w:w="2700" w:type="dxa"/>
            <w:vAlign w:val="center"/>
          </w:tcPr>
          <w:p>
            <w:pPr>
              <w:jc w:val="left"/>
            </w:pPr>
            <w:r>
              <w:rPr>
                <w:rFonts w:ascii="宋体" w:hAnsi="宋体" w:eastAsia="宋体" w:cs="宋体"/>
                <w:b w:val="0"/>
                <w:i w:val="0"/>
                <w:color w:val="000000"/>
                <w:sz w:val="16"/>
              </w:rPr>
              <w:t>行政单位离退休</w:t>
            </w:r>
          </w:p>
        </w:tc>
        <w:tc>
          <w:tcPr>
            <w:tcW w:w="1420" w:type="dxa"/>
            <w:vAlign w:val="center"/>
          </w:tcPr>
          <w:p>
            <w:pPr>
              <w:jc w:val="right"/>
            </w:pPr>
            <w:r>
              <w:rPr>
                <w:rFonts w:ascii="宋体" w:hAnsi="宋体" w:eastAsia="宋体" w:cs="宋体"/>
                <w:b w:val="0"/>
                <w:i w:val="0"/>
                <w:color w:val="000000"/>
                <w:sz w:val="16"/>
              </w:rPr>
              <w:t>38.62</w:t>
            </w:r>
          </w:p>
        </w:tc>
        <w:tc>
          <w:tcPr>
            <w:tcW w:w="1520" w:type="dxa"/>
            <w:vAlign w:val="center"/>
          </w:tcPr>
          <w:p>
            <w:pPr>
              <w:jc w:val="right"/>
            </w:pPr>
            <w:r>
              <w:rPr>
                <w:rFonts w:ascii="宋体" w:hAnsi="宋体" w:eastAsia="宋体" w:cs="宋体"/>
                <w:b w:val="0"/>
                <w:i w:val="0"/>
                <w:color w:val="000000"/>
                <w:sz w:val="16"/>
              </w:rPr>
              <w:t>38.62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36.39</w:t>
            </w:r>
          </w:p>
        </w:tc>
        <w:tc>
          <w:tcPr>
            <w:tcW w:w="1520" w:type="dxa"/>
            <w:vAlign w:val="center"/>
          </w:tcPr>
          <w:p>
            <w:pPr>
              <w:jc w:val="right"/>
            </w:pPr>
            <w:r>
              <w:rPr>
                <w:rFonts w:ascii="宋体" w:hAnsi="宋体" w:eastAsia="宋体" w:cs="宋体"/>
                <w:b w:val="0"/>
                <w:i w:val="0"/>
                <w:color w:val="000000"/>
                <w:sz w:val="16"/>
              </w:rPr>
              <w:t>36.39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35.00</w:t>
            </w:r>
          </w:p>
        </w:tc>
        <w:tc>
          <w:tcPr>
            <w:tcW w:w="1520" w:type="dxa"/>
            <w:vAlign w:val="center"/>
          </w:tcPr>
          <w:p>
            <w:pPr>
              <w:jc w:val="right"/>
            </w:pPr>
            <w:r>
              <w:rPr>
                <w:rFonts w:ascii="宋体" w:hAnsi="宋体" w:eastAsia="宋体" w:cs="宋体"/>
                <w:b w:val="0"/>
                <w:i w:val="0"/>
                <w:color w:val="000000"/>
                <w:sz w:val="16"/>
              </w:rPr>
              <w:t>35.00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w:t>
            </w:r>
          </w:p>
        </w:tc>
        <w:tc>
          <w:tcPr>
            <w:tcW w:w="2700" w:type="dxa"/>
            <w:vAlign w:val="center"/>
          </w:tcPr>
          <w:p>
            <w:pPr>
              <w:jc w:val="left"/>
            </w:pPr>
            <w:r>
              <w:rPr>
                <w:rFonts w:ascii="宋体" w:hAnsi="宋体" w:eastAsia="宋体" w:cs="宋体"/>
                <w:b w:val="0"/>
                <w:i w:val="0"/>
                <w:color w:val="000000"/>
                <w:sz w:val="16"/>
              </w:rPr>
              <w:t>巩固脱贫攻坚成果衔接乡村振兴</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2130599</w:t>
            </w:r>
          </w:p>
        </w:tc>
        <w:tc>
          <w:tcPr>
            <w:tcW w:w="2700" w:type="dxa"/>
            <w:vAlign w:val="center"/>
          </w:tcPr>
          <w:p>
            <w:pPr>
              <w:jc w:val="left"/>
            </w:pPr>
            <w:r>
              <w:rPr>
                <w:rFonts w:ascii="宋体" w:hAnsi="宋体" w:eastAsia="宋体" w:cs="宋体"/>
                <w:b w:val="0"/>
                <w:i w:val="0"/>
                <w:color w:val="000000"/>
                <w:sz w:val="16"/>
              </w:rPr>
              <w:t>其他巩固脱贫攻坚成果衔接乡村振兴支出</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17.98</w:t>
            </w:r>
          </w:p>
        </w:tc>
        <w:tc>
          <w:tcPr>
            <w:tcW w:w="1520" w:type="dxa"/>
            <w:vAlign w:val="center"/>
          </w:tcPr>
          <w:p>
            <w:pPr>
              <w:jc w:val="right"/>
            </w:pPr>
            <w:r>
              <w:rPr>
                <w:rFonts w:ascii="宋体" w:hAnsi="宋体" w:eastAsia="宋体" w:cs="宋体"/>
                <w:b w:val="0"/>
                <w:i w:val="0"/>
                <w:color w:val="000000"/>
                <w:sz w:val="16"/>
              </w:rPr>
              <w:t>17.98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17.98</w:t>
            </w:r>
          </w:p>
        </w:tc>
        <w:tc>
          <w:tcPr>
            <w:tcW w:w="1520" w:type="dxa"/>
            <w:vAlign w:val="center"/>
          </w:tcPr>
          <w:p>
            <w:pPr>
              <w:jc w:val="right"/>
            </w:pPr>
            <w:r>
              <w:rPr>
                <w:rFonts w:ascii="宋体" w:hAnsi="宋体" w:eastAsia="宋体" w:cs="宋体"/>
                <w:b w:val="0"/>
                <w:i w:val="0"/>
                <w:color w:val="000000"/>
                <w:sz w:val="16"/>
              </w:rPr>
              <w:t>17.98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17.98</w:t>
            </w:r>
          </w:p>
        </w:tc>
        <w:tc>
          <w:tcPr>
            <w:tcW w:w="1520" w:type="dxa"/>
            <w:vAlign w:val="center"/>
          </w:tcPr>
          <w:p>
            <w:pPr>
              <w:jc w:val="right"/>
            </w:pPr>
            <w:r>
              <w:rPr>
                <w:rFonts w:ascii="宋体" w:hAnsi="宋体" w:eastAsia="宋体" w:cs="宋体"/>
                <w:b w:val="0"/>
                <w:i w:val="0"/>
                <w:color w:val="000000"/>
                <w:sz w:val="16"/>
              </w:rPr>
              <w:t>17.98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419.40</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27.01</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80.65</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6.51</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32.04</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1.50</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163.08</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13.01</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22.07</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36.39</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35.00</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0.58</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9.45</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pPr>
              <w:jc w:val="right"/>
            </w:pPr>
            <w:r>
              <w:rPr>
                <w:rFonts w:ascii="宋体" w:hAnsi="宋体" w:eastAsia="宋体" w:cs="宋体"/>
                <w:b w:val="0"/>
                <w:i w:val="0"/>
                <w:color w:val="000000"/>
                <w:sz w:val="9"/>
              </w:rPr>
              <w:t>5.80</w:t>
            </w: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1.80</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1.50</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17.98</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2.13</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38.62</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1.50</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1.66</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0.63</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1.49</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37.20</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8.27</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0.79</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4.00</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458.02</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30.51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单位：新余市渝水区统计局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3.95</w:t>
            </w:r>
          </w:p>
        </w:tc>
        <w:tc>
          <w:tcPr>
            <w:tcW w:w="1460" w:type="dxa"/>
            <w:vAlign w:val="center"/>
          </w:tcPr>
          <w:p>
            <w:pPr>
              <w:jc w:val="right"/>
            </w:pPr>
            <w:r>
              <w:rPr>
                <w:rFonts w:ascii="宋体" w:hAnsi="宋体" w:eastAsia="宋体" w:cs="宋体"/>
                <w:b w:val="0"/>
                <w:i w:val="0"/>
                <w:color w:val="000000"/>
                <w:sz w:val="16"/>
              </w:rPr>
              <w:t>2.03</w:t>
            </w:r>
          </w:p>
        </w:tc>
        <w:tc>
          <w:tcPr>
            <w:tcW w:w="1586" w:type="dxa"/>
            <w:vAlign w:val="center"/>
          </w:tcPr>
          <w:p>
            <w:pPr>
              <w:jc w:val="right"/>
            </w:pPr>
            <w:r>
              <w:rPr>
                <w:rFonts w:ascii="宋体" w:hAnsi="宋体" w:eastAsia="宋体" w:cs="宋体"/>
                <w:b w:val="0"/>
                <w:i w:val="0"/>
                <w:color w:val="000000"/>
                <w:sz w:val="17"/>
              </w:rPr>
              <w:t>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3.95</w:t>
            </w:r>
          </w:p>
        </w:tc>
        <w:tc>
          <w:tcPr>
            <w:tcW w:w="1460" w:type="dxa"/>
            <w:vAlign w:val="center"/>
          </w:tcPr>
          <w:p>
            <w:pPr>
              <w:jc w:val="right"/>
            </w:pPr>
            <w:r>
              <w:rPr>
                <w:rFonts w:ascii="宋体" w:hAnsi="宋体" w:eastAsia="宋体" w:cs="宋体"/>
                <w:b w:val="0"/>
                <w:i w:val="0"/>
                <w:color w:val="000000"/>
                <w:sz w:val="16"/>
              </w:rPr>
              <w:t>2.03</w:t>
            </w:r>
          </w:p>
        </w:tc>
        <w:tc>
          <w:tcPr>
            <w:tcW w:w="1586" w:type="dxa"/>
            <w:vAlign w:val="center"/>
          </w:tcPr>
          <w:p>
            <w:pPr>
              <w:jc w:val="right"/>
            </w:pPr>
            <w:r>
              <w:rPr>
                <w:rFonts w:ascii="宋体" w:hAnsi="宋体" w:eastAsia="宋体" w:cs="宋体"/>
                <w:b w:val="0"/>
                <w:i w:val="0"/>
                <w:color w:val="000000"/>
                <w:sz w:val="17"/>
              </w:rPr>
              <w:t>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1.66</w:t>
            </w:r>
          </w:p>
        </w:tc>
      </w:tr>
      <w:tr>
        <w:tblPrEx>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新余市渝水区统计局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spacing w:line="600" w:lineRule="exact"/>
        <w:ind w:firstLine="640" w:firstLineChars="200"/>
        <w:rPr>
          <w:rFonts w:hint="default"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2023年度收入总计696.11万元，其中年初结转和结余0.00万元，与上年持平；使用非财政拨款结余和专用结余0.00万元，与上年持平；本年收入合计696.11万元，比上年减少153.66万元，下降18.08%，</w:t>
      </w:r>
      <w:r>
        <w:rPr>
          <w:rFonts w:hint="eastAsia" w:ascii="仿宋_GB2312" w:hAnsi="仿宋_GB2312" w:eastAsia="仿宋_GB2312"/>
          <w:color w:val="000000" w:themeColor="text1"/>
          <w:sz w:val="32"/>
          <w:szCs w:val="32"/>
          <w14:textFill>
            <w14:solidFill>
              <w14:schemeClr w14:val="tx1"/>
            </w14:solidFill>
          </w14:textFill>
        </w:rPr>
        <w:t>主要原因是：</w:t>
      </w:r>
      <w:r>
        <w:rPr>
          <w:rFonts w:hint="eastAsia" w:ascii="仿宋_GB2312" w:hAnsi="仿宋_GB2312" w:eastAsia="仿宋_GB2312"/>
          <w:color w:val="000000" w:themeColor="text1"/>
          <w:sz w:val="32"/>
          <w:szCs w:val="32"/>
          <w:lang w:val="en-US" w:eastAsia="zh-CN"/>
          <w14:textFill>
            <w14:solidFill>
              <w14:schemeClr w14:val="tx1"/>
            </w14:solidFill>
          </w14:textFill>
        </w:rPr>
        <w:t>本部门2023年度收入比2022年度减少主要原因是节约了单位开支。</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本年收入的具体构成：财政拨款收入696.11万元，占100.00%；事业收入0.00万元，占0.00%；经营收入0.00万元，占0.00%；上级补助收入0.00万元，占0.00%；附属单位上缴收入0.00万元，占0.00%；其他收入0.00万元，占0.00%。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2023年度支出总计696.11万元，其中本年支出合计696.11万元，比上年减少153.66万元，下降18.08%，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节约了单位开支</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没有变化</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本年支出的具体构成：基本支出488.53万元，占70.18%；项目支出207.58万元，占29.82%；经营支出0.00万元，占0.00%；上缴上级支出0.00万元，占0.00%；对附属单位补助支出0.00万元，占0.00%。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2023年度财政拨款本年支出年初预算数447.37万元，决算数696.11万元，完成年初预算的155.60%。其中：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（一）一般公共服务支出（类）年初预算数364.88万元，决算数562.11万元，完成年初预算的154.05%。预决算差异主要原因：</w:t>
      </w:r>
      <w:r>
        <w:rPr>
          <w:rFonts w:hint="eastAsia" w:ascii="仿宋_GB2312" w:hAnsi="仿宋_GB2312" w:eastAsia="仿宋_GB2312"/>
          <w:sz w:val="32"/>
          <w:szCs w:val="32"/>
          <w:lang w:val="en-US" w:eastAsia="zh-CN"/>
        </w:rPr>
        <w:t>加了项目经费。项目经费年初没有做预算。</w:t>
      </w:r>
    </w:p>
    <w:p>
      <w:pPr>
        <w:ind w:firstLine="640" w:firstLineChars="200"/>
        <w:jc w:val="left"/>
        <w:rPr>
          <w:rFonts w:hint="default"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olor w:val="000000" w:themeColor="text1"/>
          <w:sz w:val="32"/>
          <w:szCs w:val="32"/>
          <w14:textFill>
            <w14:solidFill>
              <w14:schemeClr w14:val="tx1"/>
            </w14:solidFill>
          </w14:textFill>
        </w:rPr>
        <w:t>）社会保障和就业支出（类）年初预算数61.52万元，决算数110.01万元，完成年初预算的178.82%。预决算差异主要原因：</w:t>
      </w:r>
      <w:r>
        <w:rPr>
          <w:rFonts w:hint="eastAsia" w:ascii="仿宋_GB2312" w:hAnsi="仿宋_GB2312" w:eastAsia="仿宋_GB2312"/>
          <w:color w:val="000000" w:themeColor="text1"/>
          <w:sz w:val="32"/>
          <w:szCs w:val="32"/>
          <w:lang w:val="en-US" w:eastAsia="zh-CN"/>
          <w14:textFill>
            <w14:solidFill>
              <w14:schemeClr w14:val="tx1"/>
            </w14:solidFill>
          </w14:textFill>
        </w:rPr>
        <w:t>单位人员增加</w:t>
      </w:r>
    </w:p>
    <w:p>
      <w:pPr>
        <w:spacing w:line="600" w:lineRule="exact"/>
        <w:ind w:firstLine="480" w:firstLineChars="15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70C0"/>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olor w:val="000000" w:themeColor="text1"/>
          <w:sz w:val="32"/>
          <w:szCs w:val="32"/>
          <w14:textFill>
            <w14:solidFill>
              <w14:schemeClr w14:val="tx1"/>
            </w14:solidFill>
          </w14:textFill>
        </w:rPr>
        <w:t>）农林水支出（类）年初预算数3.00万元，决算数6.00万元，完成年初预算的200.00%。预决算差异主要原因：单位</w:t>
      </w:r>
      <w:r>
        <w:rPr>
          <w:rFonts w:hint="eastAsia" w:ascii="仿宋_GB2312" w:hAnsi="仿宋_GB2312" w:eastAsia="仿宋_GB2312"/>
          <w:color w:val="000000" w:themeColor="text1"/>
          <w:sz w:val="32"/>
          <w:szCs w:val="32"/>
          <w:lang w:val="en-US" w:eastAsia="zh-CN"/>
          <w14:textFill>
            <w14:solidFill>
              <w14:schemeClr w14:val="tx1"/>
            </w14:solidFill>
          </w14:textFill>
        </w:rPr>
        <w:t>支付乡镇扶贫资金</w:t>
      </w:r>
      <w:r>
        <w:rPr>
          <w:rFonts w:hint="eastAsia" w:ascii="仿宋_GB2312" w:hAnsi="仿宋_GB2312" w:eastAsia="仿宋_GB2312"/>
          <w:color w:val="000000" w:themeColor="text1"/>
          <w:sz w:val="32"/>
          <w:szCs w:val="32"/>
          <w14:textFill>
            <w14:solidFill>
              <w14:schemeClr w14:val="tx1"/>
            </w14:solidFill>
          </w14:textFill>
        </w:rPr>
        <w:t>，增加了费用。</w:t>
      </w:r>
    </w:p>
    <w:p>
      <w:pPr>
        <w:ind w:firstLine="640" w:firstLineChars="200"/>
        <w:jc w:val="left"/>
        <w:rPr>
          <w:rFonts w:hint="eastAsia" w:ascii="仿宋_GB2312" w:hAnsi="仿宋_GB2312" w:eastAsia="仿宋_GB2312"/>
          <w:color w:val="1F497D" w:themeColor="text2"/>
          <w:sz w:val="32"/>
          <w:szCs w:val="32"/>
          <w14:textFill>
            <w14:solidFill>
              <w14:schemeClr w14:val="tx2"/>
            </w14:solidFill>
          </w14:textFill>
        </w:rPr>
      </w:pPr>
      <w:r>
        <w:rPr>
          <w:rFonts w:hint="eastAsia" w:ascii="仿宋_GB2312" w:hAnsi="仿宋_GB2312" w:eastAsia="仿宋_GB2312"/>
          <w:b w:val="0"/>
          <w:bCs w:val="0"/>
          <w:color w:val="000000" w:themeColor="text1"/>
          <w:sz w:val="32"/>
          <w:szCs w:val="32"/>
          <w14:textFill>
            <w14:solidFill>
              <w14:schemeClr w14:val="tx1"/>
            </w14:solidFill>
          </w14:textFill>
        </w:rPr>
        <w:t>（</w:t>
      </w:r>
      <w:r>
        <w:rPr>
          <w:rFonts w:hint="eastAsia" w:ascii="仿宋_GB2312" w:hAnsi="仿宋_GB2312" w:eastAsia="仿宋_GB2312"/>
          <w:b w:val="0"/>
          <w:bCs w:val="0"/>
          <w:color w:val="000000" w:themeColor="text1"/>
          <w:sz w:val="32"/>
          <w:szCs w:val="32"/>
          <w:lang w:val="en-US" w:eastAsia="zh-CN"/>
          <w14:textFill>
            <w14:solidFill>
              <w14:schemeClr w14:val="tx1"/>
            </w14:solidFill>
          </w14:textFill>
        </w:rPr>
        <w:t>四</w:t>
      </w:r>
      <w:r>
        <w:rPr>
          <w:rFonts w:hint="eastAsia" w:ascii="仿宋_GB2312" w:hAnsi="仿宋_GB2312" w:eastAsia="仿宋_GB2312"/>
          <w:b w:val="0"/>
          <w:bCs w:val="0"/>
          <w:color w:val="000000" w:themeColor="text1"/>
          <w:sz w:val="32"/>
          <w:szCs w:val="32"/>
          <w14:textFill>
            <w14:solidFill>
              <w14:schemeClr w14:val="tx1"/>
            </w14:solidFill>
          </w14:textFill>
        </w:rPr>
        <w:t>）住房保障支出（类）年初预算数17.97万元，决算数17.98万元，完成年初预算的100.07%。预决算差异主要原因：</w:t>
      </w:r>
      <w:r>
        <w:rPr>
          <w:rFonts w:hint="eastAsia" w:ascii="仿宋_GB2312" w:hAnsi="仿宋_GB2312" w:eastAsia="仿宋_GB2312"/>
          <w:b w:val="0"/>
          <w:bCs w:val="0"/>
          <w:color w:val="000000" w:themeColor="text1"/>
          <w:sz w:val="32"/>
          <w:szCs w:val="32"/>
          <w:lang w:eastAsia="zh-CN"/>
          <w14:textFill>
            <w14:solidFill>
              <w14:schemeClr w14:val="tx1"/>
            </w14:solidFill>
          </w14:textFill>
        </w:rPr>
        <w:t>人员变化</w:t>
      </w:r>
      <w:r>
        <w:rPr>
          <w:rFonts w:hint="eastAsia" w:ascii="仿宋_GB2312" w:hAnsi="仿宋_GB2312" w:eastAsia="仿宋_GB2312"/>
          <w:b w:val="0"/>
          <w:bCs w:val="0"/>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2023年度一般公共预算财政拨款基本支出488.53万元，其中：</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（一）工资福利支出419.40万元，比上年增加2.67万元</w:t>
      </w:r>
      <w:r>
        <w:rPr>
          <w:rFonts w:hint="eastAsia" w:ascii="仿宋_GB2312" w:hAnsi="仿宋_GB2312" w:eastAsia="仿宋_GB2312" w:cs="Times New Roman"/>
          <w:sz w:val="32"/>
          <w:szCs w:val="32"/>
        </w:rPr>
        <w:t>，增长0.64%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单位人员增加</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（二）商品和服务支出27.01万元，比上年增加2.32万元</w:t>
      </w:r>
      <w:r>
        <w:rPr>
          <w:rFonts w:hint="eastAsia" w:ascii="仿宋_GB2312" w:hAnsi="仿宋_GB2312" w:eastAsia="仿宋_GB2312" w:cs="Times New Roman"/>
          <w:sz w:val="32"/>
          <w:szCs w:val="32"/>
        </w:rPr>
        <w:t>，增长9.41%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单位人员增加</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（三）对个人和家庭补助支出38.62万元，比上年增加31.71万元</w:t>
      </w:r>
      <w:r>
        <w:rPr>
          <w:rFonts w:hint="eastAsia" w:ascii="仿宋_GB2312" w:hAnsi="仿宋_GB2312" w:eastAsia="仿宋_GB2312" w:cs="Times New Roman"/>
          <w:sz w:val="32"/>
          <w:szCs w:val="32"/>
        </w:rPr>
        <w:t>，增长458.74%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单位人员增加</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（四）资本性支出3.50万元，比上年增加2.41万元</w:t>
      </w:r>
      <w:r>
        <w:rPr>
          <w:rFonts w:hint="eastAsia" w:ascii="仿宋_GB2312" w:hAnsi="仿宋_GB2312" w:eastAsia="仿宋_GB2312" w:cs="Times New Roman"/>
          <w:sz w:val="32"/>
          <w:szCs w:val="32"/>
        </w:rPr>
        <w:t>，增长219.93%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单位人员增加</w:t>
      </w:r>
      <w:r>
        <w:rPr>
          <w:rFonts w:hint="eastAsia" w:ascii="仿宋_GB2312" w:hAnsi="仿宋_GB2312" w:eastAsia="仿宋_GB2312"/>
          <w:sz w:val="32"/>
          <w:szCs w:val="32"/>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2023年度财政拨款“三公”经费支出全年预算数2.03万元，决算数1.66万元，完成全年预算的81.56%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决算数比上年减少2.34万元，下降58.59%，其中：</w:t>
      </w:r>
    </w:p>
    <w:p>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2022年，2023年没有发生因公出国</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2022年，2023年没有发生因公出国</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2022年，2023年没有发生因公出国</w:t>
      </w:r>
      <w:r>
        <w:rPr>
          <w:rFonts w:hint="eastAsia" w:ascii="仿宋_GB2312" w:hAnsi="仿宋_GB2312" w:eastAsia="仿宋_GB2312"/>
          <w:sz w:val="32"/>
          <w:szCs w:val="32"/>
        </w:rPr>
        <w:t>。</w:t>
      </w:r>
    </w:p>
    <w:p>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没有发生公务用车购置</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没有发生公务用车购置</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没有发生</w:t>
      </w:r>
      <w:r>
        <w:rPr>
          <w:rFonts w:hint="eastAsia" w:ascii="仿宋_GB2312" w:hAnsi="仿宋_GB2312" w:eastAsia="仿宋_GB2312"/>
          <w:sz w:val="32"/>
          <w:szCs w:val="32"/>
        </w:rPr>
        <w:t>公务用车运行维护费。决算数与上年持平,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没有发生</w:t>
      </w:r>
      <w:r>
        <w:rPr>
          <w:rFonts w:hint="eastAsia" w:ascii="仿宋_GB2312" w:hAnsi="仿宋_GB2312" w:eastAsia="仿宋_GB2312"/>
          <w:sz w:val="32"/>
          <w:szCs w:val="32"/>
        </w:rPr>
        <w:t>公务用车运行维护费。年末使用财政拨款负担费用的公务用车保有量0辆。</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（三）公务接待费全年预算数2.03万元，决算数1.66万元，完成全年预算的81.56%，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减少公务接待开支</w:t>
      </w:r>
      <w:r>
        <w:rPr>
          <w:rFonts w:hint="eastAsia" w:ascii="仿宋_GB2312" w:hAnsi="仿宋_GB2312" w:eastAsia="仿宋_GB2312"/>
          <w:sz w:val="32"/>
          <w:szCs w:val="32"/>
        </w:rPr>
        <w:t>。决算数比上年减少2.34万元，下降58.59%,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减少公务接待开支</w:t>
      </w:r>
      <w:r>
        <w:rPr>
          <w:rFonts w:hint="eastAsia" w:ascii="仿宋_GB2312" w:hAnsi="仿宋_GB2312" w:eastAsia="仿宋_GB2312"/>
          <w:sz w:val="32"/>
          <w:szCs w:val="32"/>
        </w:rPr>
        <w:t>。全年国内公务接待16批，累计接待96人次，主要是：</w:t>
      </w:r>
      <w:r>
        <w:rPr>
          <w:rFonts w:hint="eastAsia" w:ascii="仿宋_GB2312" w:hAnsi="仿宋_GB2312" w:eastAsia="仿宋_GB2312"/>
          <w:sz w:val="32"/>
          <w:szCs w:val="32"/>
          <w:lang w:val="en-US" w:eastAsia="zh-CN"/>
        </w:rPr>
        <w:t>主要为上级工作指导、统计调查和外区工作交流学习等</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olor w:val="000000" w:themeColor="text1"/>
          <w:sz w:val="32"/>
          <w:szCs w:val="32"/>
          <w14:textFill>
            <w14:solidFill>
              <w14:schemeClr w14:val="tx1"/>
            </w14:solidFill>
          </w14:textFill>
        </w:rPr>
        <w:t>2023年度机关运行经费支出30.51万元，决算数比上年增加4.73万元</w:t>
      </w:r>
      <w:r>
        <w:rPr>
          <w:rFonts w:hint="eastAsia" w:ascii="仿宋_GB2312" w:hAnsi="仿宋_GB2312" w:eastAsia="仿宋_GB2312" w:cs="Times New Roman"/>
          <w:color w:val="000000" w:themeColor="text1"/>
          <w:sz w:val="32"/>
          <w:szCs w:val="32"/>
          <w14:textFill>
            <w14:solidFill>
              <w14:schemeClr w14:val="tx1"/>
            </w14:solidFill>
          </w14:textFill>
        </w:rPr>
        <w:t>，增长18.35%</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因人员增加，</w:t>
      </w:r>
      <w:r>
        <w:rPr>
          <w:rFonts w:hint="eastAsia" w:ascii="仿宋_GB2312" w:hAnsi="仿宋_GB2312" w:eastAsia="仿宋_GB2312"/>
          <w:sz w:val="32"/>
          <w:szCs w:val="32"/>
          <w:lang w:eastAsia="zh-CN"/>
        </w:rPr>
        <w:t>机关办公费用略有增加。</w:t>
      </w:r>
    </w:p>
    <w:p>
      <w:pPr>
        <w:ind w:firstLine="630"/>
        <w:jc w:val="left"/>
        <w:rPr>
          <w:rFonts w:hint="eastAsia" w:ascii="仿宋_GB2312" w:hAnsi="仿宋_GB2312" w:eastAsia="仿宋_GB2312"/>
          <w:color w:val="1F497D" w:themeColor="text2"/>
          <w:sz w:val="32"/>
          <w:szCs w:val="32"/>
          <w:highlight w:val="cyan"/>
          <w14:textFill>
            <w14:solidFill>
              <w14:schemeClr w14:val="tx2"/>
            </w14:solidFill>
          </w14:textFill>
        </w:rPr>
      </w:pP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14.02万元，其中：政府采购货物支出2.23万元、政府采购工程支出0.00万元、政府采购服务支出11.79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235.74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占项目支出总额的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79.72</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%。其中，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个项</w:t>
      </w:r>
      <w:r>
        <w:rPr>
          <w:rFonts w:hint="eastAsia" w:ascii="仿宋_GB2312" w:hAnsi="仿宋_GB2312" w:eastAsia="仿宋_GB2312" w:cs="仿宋_GB2312"/>
          <w:kern w:val="0"/>
          <w:sz w:val="32"/>
          <w:szCs w:val="32"/>
        </w:rPr>
        <w:t xml:space="preserve">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numPr>
          <w:ilvl w:val="0"/>
          <w:numId w:val="0"/>
        </w:numPr>
        <w:ind w:leftChars="0" w:firstLine="600"/>
        <w:rPr>
          <w:rFonts w:hint="eastAsia" w:ascii="仿宋_GB2312" w:hAnsi="宋体" w:eastAsia="仿宋_GB2312" w:cs="Times New Roman"/>
          <w:kern w:val="2"/>
          <w:sz w:val="32"/>
          <w:szCs w:val="30"/>
          <w:lang w:val="en-US" w:eastAsia="zh-CN" w:bidi="ar-SA"/>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宋体" w:eastAsia="仿宋_GB2312" w:cs="Times New Roman"/>
          <w:kern w:val="2"/>
          <w:sz w:val="32"/>
          <w:szCs w:val="30"/>
          <w:lang w:val="en-US" w:eastAsia="zh-CN" w:bidi="ar-SA"/>
        </w:rPr>
        <w:t>“全国人口抽样调查”项目，顺利完成2022年全国人口抽样调查，及时反应人口变动情况。“全国人口抽样调查”项目，预算金额10万元，执行金额10万元，预算执行率100%。</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spacing w:line="600" w:lineRule="exact"/>
        <w:ind w:firstLine="640" w:firstLineChars="200"/>
        <w:rPr>
          <w:rFonts w:hint="eastAsia" w:ascii="仿宋_GB2312" w:hAnsi="宋体" w:eastAsia="仿宋_GB2312"/>
          <w:sz w:val="32"/>
          <w:szCs w:val="30"/>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组织对纳入</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年度部门预算范围的二级项目</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个全面开展绩效自评。</w:t>
      </w:r>
      <w:r>
        <w:rPr>
          <w:rFonts w:hint="eastAsia" w:ascii="仿宋_GB2312" w:hAnsi="宋体" w:eastAsia="仿宋_GB2312"/>
          <w:sz w:val="32"/>
          <w:szCs w:val="30"/>
        </w:rPr>
        <w:t>从项目支出情况来看，我单位严格按照年初预算进行部门项目支出。在支出过程中，能严格遵守各项规章制度，</w:t>
      </w:r>
      <w:r>
        <w:rPr>
          <w:rFonts w:hint="eastAsia" w:ascii="仿宋_GB2312" w:hAnsi="宋体" w:eastAsia="仿宋_GB2312"/>
          <w:sz w:val="32"/>
          <w:szCs w:val="30"/>
          <w:lang w:eastAsia="zh-CN"/>
        </w:rPr>
        <w:t>各项指标达到预期，绩效目标圆满完成。</w:t>
      </w:r>
      <w:r>
        <w:rPr>
          <w:rFonts w:hint="eastAsia" w:ascii="仿宋_GB2312" w:hAnsi="宋体" w:eastAsia="仿宋_GB2312"/>
          <w:sz w:val="32"/>
          <w:szCs w:val="30"/>
        </w:rPr>
        <w:t>自评等级为优秀，项目支出管理规范和绩效管理突出到位。</w:t>
      </w:r>
      <w:r>
        <w:rPr>
          <w:rFonts w:hint="eastAsia" w:ascii="仿宋_GB2312" w:hAnsi="宋体" w:eastAsia="仿宋_GB2312"/>
          <w:sz w:val="32"/>
          <w:szCs w:val="30"/>
          <w:lang w:eastAsia="zh-CN"/>
        </w:rPr>
        <w:t>有的项目执行率不是</w:t>
      </w:r>
      <w:r>
        <w:rPr>
          <w:rFonts w:hint="eastAsia" w:ascii="仿宋_GB2312" w:hAnsi="宋体" w:eastAsia="仿宋_GB2312"/>
          <w:sz w:val="32"/>
          <w:szCs w:val="30"/>
          <w:lang w:val="en-US" w:eastAsia="zh-CN"/>
        </w:rPr>
        <w:t>100%，是</w:t>
      </w:r>
      <w:r>
        <w:rPr>
          <w:rFonts w:hint="eastAsia" w:ascii="仿宋_GB2312" w:hAnsi="宋体" w:eastAsia="仿宋_GB2312"/>
          <w:sz w:val="32"/>
          <w:szCs w:val="30"/>
        </w:rPr>
        <w:t>由于政策、资金拨付等相关原因，存在资金使用进度有些缓慢。整改措施：</w:t>
      </w:r>
      <w:r>
        <w:rPr>
          <w:rFonts w:hint="eastAsia" w:ascii="仿宋_GB2312" w:hAnsi="宋体" w:eastAsia="仿宋_GB2312"/>
          <w:sz w:val="32"/>
          <w:szCs w:val="30"/>
          <w:lang w:val="en-US" w:eastAsia="zh-CN"/>
        </w:rPr>
        <w:t>1、</w:t>
      </w:r>
      <w:r>
        <w:rPr>
          <w:rFonts w:hint="eastAsia" w:ascii="仿宋_GB2312" w:hAnsi="宋体" w:eastAsia="仿宋_GB2312"/>
          <w:sz w:val="32"/>
          <w:szCs w:val="30"/>
        </w:rPr>
        <w:t>建议及时对项目进行管理，确保专项经费专款专用，按规定落实到位。</w:t>
      </w:r>
      <w:r>
        <w:rPr>
          <w:rFonts w:hint="eastAsia" w:ascii="仿宋_GB2312" w:hAnsi="宋体" w:eastAsia="仿宋_GB2312"/>
          <w:sz w:val="32"/>
          <w:szCs w:val="30"/>
          <w:lang w:val="en-US" w:eastAsia="zh-CN"/>
        </w:rPr>
        <w:t>2、</w:t>
      </w:r>
      <w:r>
        <w:rPr>
          <w:rFonts w:hint="eastAsia" w:ascii="仿宋_GB2312" w:hAnsi="宋体" w:eastAsia="仿宋_GB2312"/>
          <w:sz w:val="32"/>
          <w:szCs w:val="30"/>
        </w:rPr>
        <w:t>加强业务培训，组织相关单位人员学习交流以拓展工作思路。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自评结果及时反馈给相关业务股室，由相关业务股室根据问题进行改进。</w:t>
      </w:r>
      <w:r>
        <w:rPr>
          <w:rFonts w:hint="eastAsia" w:ascii="仿宋_GB2312" w:hAnsi="仿宋" w:eastAsia="仿宋_GB2312"/>
          <w:sz w:val="32"/>
        </w:rPr>
        <w:t>按要求及时报送和公开</w:t>
      </w:r>
      <w:r>
        <w:rPr>
          <w:rFonts w:hint="eastAsia" w:ascii="仿宋_GB2312" w:hAnsi="仿宋_GB2312" w:eastAsia="仿宋_GB2312" w:cs="仿宋_GB2312"/>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 2023年区</w:t>
      </w:r>
      <w:r>
        <w:rPr>
          <w:rFonts w:hint="eastAsia" w:ascii="仿宋_GB2312" w:hAnsi="仿宋_GB2312" w:eastAsia="仿宋_GB2312" w:cs="仿宋_GB2312"/>
          <w:kern w:val="0"/>
          <w:sz w:val="32"/>
          <w:szCs w:val="32"/>
          <w:lang w:val="en-US" w:eastAsia="zh-CN"/>
        </w:rPr>
        <w:t>统计局全国人口抽样调查”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“2023年渝水区统计局第五次经济普查经费”</w:t>
      </w:r>
      <w:r>
        <w:rPr>
          <w:rFonts w:hint="eastAsia" w:ascii="仿宋_GB2312" w:hAnsi="仿宋_GB2312" w:eastAsia="仿宋_GB2312" w:cs="仿宋_GB2312"/>
          <w:kern w:val="0"/>
          <w:sz w:val="32"/>
          <w:szCs w:val="32"/>
        </w:rPr>
        <w:t xml:space="preserve"> 项目支出绩效自评结果如下：</w:t>
      </w:r>
    </w:p>
    <w:tbl>
      <w:tblPr>
        <w:tblStyle w:val="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3"/>
        <w:gridCol w:w="1385"/>
        <w:gridCol w:w="616"/>
        <w:gridCol w:w="876"/>
        <w:gridCol w:w="1146"/>
        <w:gridCol w:w="554"/>
        <w:gridCol w:w="620"/>
        <w:gridCol w:w="62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全国人口抽样调查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新余市渝水区统计局（部门）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开展2023年渝水区1‰人口调查，</w:t>
            </w:r>
            <w:r>
              <w:rPr>
                <w:rFonts w:hint="eastAsia" w:ascii="宋体" w:hAnsi="宋体" w:eastAsia="宋体" w:cs="宋体"/>
                <w:i w:val="0"/>
                <w:iCs w:val="0"/>
                <w:color w:val="000000"/>
                <w:kern w:val="0"/>
                <w:sz w:val="22"/>
                <w:szCs w:val="22"/>
                <w:u w:val="none"/>
                <w:lang w:val="en-US" w:eastAsia="zh-CN" w:bidi="ar"/>
              </w:rPr>
              <w:t>更准确反应人口变动信息。</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已完成 </w:t>
            </w:r>
            <w:r>
              <w:rPr>
                <w:rFonts w:hint="eastAsia" w:ascii="宋体" w:hAnsi="宋体" w:cs="宋体"/>
                <w:i w:val="0"/>
                <w:iCs w:val="0"/>
                <w:color w:val="000000"/>
                <w:kern w:val="0"/>
                <w:sz w:val="22"/>
                <w:szCs w:val="22"/>
                <w:u w:val="none"/>
                <w:lang w:val="en-US" w:eastAsia="zh-CN" w:bidi="ar"/>
              </w:rPr>
              <w:t>2023年渝水区1‰人口调查</w:t>
            </w:r>
            <w:r>
              <w:rPr>
                <w:rFonts w:hint="eastAsia" w:ascii="宋体" w:hAnsi="宋体" w:eastAsia="宋体" w:cs="宋体"/>
                <w:i w:val="0"/>
                <w:iCs w:val="0"/>
                <w:color w:val="000000"/>
                <w:kern w:val="0"/>
                <w:sz w:val="22"/>
                <w:szCs w:val="22"/>
                <w:u w:val="none"/>
                <w:lang w:val="en-US" w:eastAsia="zh-CN" w:bidi="ar"/>
              </w:rPr>
              <w:t>，能更准确反应人口变</w:t>
            </w:r>
            <w:bookmarkStart w:id="0" w:name="_GoBack"/>
            <w:bookmarkEnd w:id="0"/>
            <w:r>
              <w:rPr>
                <w:rFonts w:hint="eastAsia" w:ascii="宋体" w:hAnsi="宋体" w:eastAsia="宋体" w:cs="宋体"/>
                <w:i w:val="0"/>
                <w:iCs w:val="0"/>
                <w:color w:val="000000"/>
                <w:kern w:val="0"/>
                <w:sz w:val="22"/>
                <w:szCs w:val="22"/>
                <w:u w:val="none"/>
                <w:lang w:val="en-US" w:eastAsia="zh-CN" w:bidi="ar"/>
              </w:rPr>
              <w:t>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人口抽样调查经费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人口调查抽样数据采集（笔）</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≥3700笔</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人口调查抽样乡镇（办）数量（个）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人口抽样调查报告验收通过率（%）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人口调查抽样工作完成及时率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人口数据的真实性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ind w:firstLine="643" w:firstLineChars="200"/>
        <w:rPr>
          <w:rFonts w:hint="eastAsia" w:ascii="仿宋_GB2312" w:hAnsi="宋体" w:eastAsia="仿宋_GB2312"/>
          <w:b/>
          <w:bCs/>
          <w:sz w:val="32"/>
          <w:szCs w:val="30"/>
        </w:rPr>
      </w:pPr>
    </w:p>
    <w:tbl>
      <w:tblPr>
        <w:tblStyle w:val="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551"/>
        <w:gridCol w:w="567"/>
        <w:gridCol w:w="1524"/>
        <w:gridCol w:w="1316"/>
        <w:gridCol w:w="569"/>
        <w:gridCol w:w="986"/>
        <w:gridCol w:w="1316"/>
        <w:gridCol w:w="552"/>
        <w:gridCol w:w="613"/>
        <w:gridCol w:w="656"/>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2023年渝水区统计局第五次经济普查经费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新余市渝水区统计局（部门）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132.894816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在我区开展第五次经济普查培训会3次以上，印刷普查资料7350本，印刷普查一封信70000封，保障第五次经济普查顺利开展。</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 2023 年我区第五次经济普查培训，保障了第五次经济普查顺利开展。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2023年经济普查经费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1328948.16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2023年第五次全国经济普查还未结束，有一部分钱有留到2024年普查时候用。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参加培训的人数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业务培训的次数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印刷普查一封信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≥70000封</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印刷普查资料</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≥7350本</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印刷品验收合格率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培训出席率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资料印刷及时率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保障第五次经济普查顺利开展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bidi w:val="0"/>
        <w:ind w:firstLine="640" w:firstLineChars="200"/>
        <w:rPr>
          <w:rFonts w:hint="eastAsia"/>
        </w:rPr>
      </w:pPr>
      <w:r>
        <w:rPr>
          <w:rFonts w:hint="eastAsia" w:ascii="仿宋_GB2312" w:hAnsi="仿宋_GB2312" w:eastAsia="仿宋_GB2312" w:cs="仿宋_GB2312"/>
          <w:kern w:val="0"/>
          <w:sz w:val="32"/>
          <w:szCs w:val="32"/>
        </w:rPr>
        <w:t>项目部门评价报告见第五部分附件。</w:t>
      </w:r>
    </w:p>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7"/>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（一）财政拨款：指省级财政当年拨付的资金。</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（二）事业收入：指事业单位开展专业业务活动及辅助</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活动取得的收入。</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（三）事业单位经营收入：指事业单位在专业业务活动</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及辅助活动之外开展非独立核算经营活动取得的收入。</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（四）其他收入：指除财政拨款、事业收入、事业单位</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经营收入等以外的各项收入。</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（五）附属单位上缴收入：反映事业单位附属的独立核</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算单位按规定标准或比例缴纳的各项收入。包括附属的事业</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单位上缴的收入和附属的企业上缴的利润等。</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（六）上级补助收入：反映事业单位从主管部门和上级</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单位取得的非财政补助收入。</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（七）用事业基金弥补收支差额：填列事业单位用事业</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基金弥补 2021年收支差额的数额。</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（八）上年结转和结余：填列 2021 年全部结转和结余</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二、支出科目</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一般公共服务支出（类）党委办公厅（室）及相关机构事务（款）一般行政管理事务（项）：指反映行政单位（包括实行公务员管理的事业单位）未单独设置顶级科目的其他项目支出。</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一般公共服务支出（类）党委办公厅（室）及相关机构事务（款）机关服务（项）：指反映为行政单位（包括实行公务员管理的事业单位）提供后勤服务的各类后勤服务中心、医务室等附属事业单位的支出。</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一般公共服务支出（类）党委办公厅（室）及相关机构事务（款）事业运行（项）：指反映事业单位的基本支出，不包括行政单位（包括实行公务员管理的事业单位）后勤服务中心、医务室等附属事业单位。</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一般公共服务支出（类）党委办公厅（室）及相关机构事务（款）其他党委办公厅（室）及相关机构事务（项）：指反映除上述项目以外其他用于党委办公厅（室）及相关机构事务支出。</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教育支出（类）普通教育（款）学前教育（项）：指反映各部门举办的学前教育支出。</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社会保障和就业支出（类）行政事业单位离退休（款）未归口管理的行政单位离退休支出（项）：指反映未实行归口管理的行政单位（包括实行公务员管理的事业单位）开支的离退休支出。</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医疗卫生与计划生育支出（类）医疗保障（款）行政单位医疗（项）：指反映财政部门集中安排的行政单位基本医疗保险缴费的经费，未参加医疗保险的行政单位的公费医疗缴费，按国家规定享受离休人员、红军老战士待遇人员的医疗经费。</w:t>
      </w:r>
    </w:p>
    <w:p>
      <w:pPr>
        <w:pStyle w:val="18"/>
        <w:shd w:val="clear" w:color="auto" w:fill="FFFFFF"/>
        <w:spacing w:before="0" w:beforeAutospacing="0" w:after="0" w:afterAutospacing="0"/>
        <w:ind w:firstLine="639"/>
        <w:rPr>
          <w:rFonts w:ascii="仿宋_GB2312" w:eastAsia="仿宋_GB2312"/>
          <w:color w:val="333333"/>
          <w:sz w:val="32"/>
          <w:szCs w:val="32"/>
        </w:rPr>
      </w:pPr>
      <w:r>
        <w:rPr>
          <w:rFonts w:hint="eastAsia" w:ascii="仿宋_GB2312" w:eastAsia="仿宋_GB2312"/>
          <w:color w:val="333333"/>
          <w:sz w:val="32"/>
          <w:szCs w:val="32"/>
        </w:rPr>
        <w:t>住房保障支出（类）住房改革支出（款）购房补贴（项）：指反映按房改政策规定，行政事业单位向符合条件职工（含离退休人员）、军队（含武警）向转役复原离退休人员发放的用于购买住房的补贴。</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spacing w:line="578" w:lineRule="exact"/>
        <w:jc w:val="center"/>
        <w:rPr>
          <w:rFonts w:hint="eastAsia" w:ascii="仿宋" w:hAnsi="仿宋" w:eastAsia="仿宋"/>
          <w:b/>
          <w:bCs/>
          <w:sz w:val="44"/>
          <w:szCs w:val="44"/>
        </w:rPr>
      </w:pPr>
      <w:r>
        <w:rPr>
          <w:rFonts w:hint="eastAsia" w:ascii="宋体" w:hAnsi="宋体" w:cs="宋体"/>
          <w:b/>
          <w:bCs/>
          <w:sz w:val="44"/>
          <w:szCs w:val="44"/>
        </w:rPr>
        <w:t>第五部分  附件</w:t>
      </w:r>
    </w:p>
    <w:p>
      <w:pPr>
        <w:spacing w:line="578"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pPr>
        <w:spacing w:line="578" w:lineRule="exact"/>
        <w:rPr>
          <w:rFonts w:hint="eastAsia" w:ascii="仿宋" w:hAnsi="仿宋" w:eastAsia="仿宋"/>
          <w:szCs w:val="32"/>
        </w:rPr>
      </w:pPr>
    </w:p>
    <w:p>
      <w:pPr>
        <w:spacing w:line="578" w:lineRule="exact"/>
        <w:rPr>
          <w:rFonts w:hint="eastAsia" w:ascii="仿宋" w:hAnsi="仿宋" w:eastAsia="仿宋"/>
          <w:szCs w:val="32"/>
        </w:rPr>
      </w:pPr>
    </w:p>
    <w:p>
      <w:pPr>
        <w:spacing w:line="578" w:lineRule="exact"/>
        <w:rPr>
          <w:rFonts w:hint="eastAsia" w:ascii="仿宋" w:hAnsi="仿宋" w:eastAsia="仿宋"/>
          <w:szCs w:val="32"/>
        </w:rPr>
      </w:pPr>
    </w:p>
    <w:p>
      <w:pPr>
        <w:spacing w:line="578" w:lineRule="exact"/>
        <w:rPr>
          <w:rFonts w:hint="eastAsia" w:ascii="仿宋" w:hAnsi="仿宋" w:eastAsia="仿宋"/>
          <w:szCs w:val="32"/>
        </w:rPr>
      </w:pPr>
    </w:p>
    <w:p>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完成结果评价</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2023年渝水区统计局第五次经济普查经费</w:t>
      </w:r>
      <w:r>
        <w:rPr>
          <w:rFonts w:hint="eastAsia" w:ascii="仿宋" w:hAnsi="仿宋" w:eastAsia="仿宋" w:cs="仿宋"/>
          <w:sz w:val="28"/>
          <w:szCs w:val="32"/>
          <w:u w:val="single"/>
        </w:rPr>
        <w:t xml:space="preserve">        </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新余市渝水区统计局</w:t>
      </w:r>
      <w:r>
        <w:rPr>
          <w:rFonts w:hint="eastAsia" w:ascii="仿宋" w:hAnsi="仿宋" w:eastAsia="仿宋" w:cs="仿宋"/>
          <w:sz w:val="28"/>
          <w:szCs w:val="32"/>
          <w:u w:val="single"/>
        </w:rPr>
        <w:t xml:space="preserve">                                         </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新余市渝水区统计局</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项目单位评价组</w:t>
      </w:r>
    </w:p>
    <w:p>
      <w:pPr>
        <w:spacing w:line="578" w:lineRule="exact"/>
        <w:ind w:left="1600" w:hanging="1050" w:hangingChars="500"/>
        <w:rPr>
          <w:rFonts w:hint="eastAsia" w:ascii="仿宋" w:hAnsi="仿宋" w:eastAsia="仿宋" w:cs="仿宋"/>
          <w:szCs w:val="32"/>
        </w:rPr>
      </w:pPr>
    </w:p>
    <w:p>
      <w:pPr>
        <w:spacing w:line="578" w:lineRule="exact"/>
        <w:rPr>
          <w:rFonts w:hint="eastAsia" w:ascii="仿宋" w:hAnsi="仿宋" w:eastAsia="仿宋" w:cs="仿宋"/>
          <w:szCs w:val="32"/>
        </w:rPr>
      </w:pPr>
    </w:p>
    <w:p>
      <w:pPr>
        <w:spacing w:line="578" w:lineRule="exact"/>
        <w:rPr>
          <w:rFonts w:hint="eastAsia" w:ascii="仿宋" w:hAnsi="仿宋" w:eastAsia="仿宋" w:cs="仿宋"/>
          <w:szCs w:val="32"/>
        </w:rPr>
      </w:pPr>
    </w:p>
    <w:p>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pPr>
        <w:spacing w:line="578" w:lineRule="exact"/>
        <w:ind w:left="1600" w:hanging="1050" w:hangingChars="500"/>
        <w:rPr>
          <w:rFonts w:hint="eastAsia"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r>
        <w:rPr>
          <w:rFonts w:hint="eastAsia" w:ascii="仿宋" w:hAnsi="仿宋" w:eastAsia="仿宋" w:cs="仿宋"/>
          <w:sz w:val="28"/>
          <w:szCs w:val="32"/>
          <w:lang w:val="en-US" w:eastAsia="zh-CN"/>
        </w:rPr>
        <w:t>新余市渝水区统计局</w:t>
      </w:r>
    </w:p>
    <w:p>
      <w:pPr>
        <w:spacing w:line="578" w:lineRule="exact"/>
        <w:ind w:left="1400"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 xml:space="preserve">           上报时间：</w:t>
      </w:r>
      <w:r>
        <w:rPr>
          <w:rFonts w:hint="eastAsia" w:ascii="仿宋" w:hAnsi="仿宋" w:eastAsia="仿宋" w:cs="仿宋"/>
          <w:sz w:val="28"/>
          <w:szCs w:val="32"/>
          <w:lang w:val="en-US" w:eastAsia="zh-CN"/>
        </w:rPr>
        <w:t>2024年4月</w:t>
      </w:r>
    </w:p>
    <w:p>
      <w:pPr>
        <w:spacing w:line="400" w:lineRule="exact"/>
        <w:jc w:val="left"/>
        <w:rPr>
          <w:rFonts w:hint="eastAsia" w:ascii="仿宋" w:hAnsi="仿宋" w:eastAsia="仿宋" w:cs="仿宋"/>
          <w:szCs w:val="32"/>
        </w:rPr>
      </w:pPr>
    </w:p>
    <w:p>
      <w:pPr>
        <w:jc w:val="center"/>
        <w:rPr>
          <w:rFonts w:hint="eastAsia" w:ascii="仿宋" w:hAnsi="仿宋" w:eastAsia="仿宋" w:cs="仿宋"/>
          <w:szCs w:val="32"/>
        </w:rPr>
      </w:pPr>
      <w:r>
        <w:rPr>
          <w:rFonts w:hint="eastAsia" w:ascii="仿宋" w:hAnsi="仿宋" w:eastAsia="仿宋" w:cs="仿宋"/>
          <w:szCs w:val="32"/>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r>
        <w:rPr>
          <w:rFonts w:hint="eastAsia" w:ascii="方正小标宋简体" w:hAnsi="方正小标宋简体" w:eastAsia="方正小标宋简体" w:cs="方正小标宋简体"/>
          <w:sz w:val="44"/>
          <w:szCs w:val="44"/>
        </w:rPr>
        <w:t>（参考提纲）</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楷体_GB2312" w:hAns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（一）项目概况。包括项目背景、主要内容及实施情况、资金投入和使用情况等。</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《全国经济普查条例》规定：经济普查每5年进行一次。</w:t>
      </w:r>
      <w:r>
        <w:rPr>
          <w:rFonts w:hint="eastAsia" w:ascii="仿宋_GB2312" w:hAnsi="仿宋_GB2312" w:eastAsia="仿宋_GB2312"/>
          <w:sz w:val="32"/>
          <w:szCs w:val="32"/>
          <w:lang w:eastAsia="zh-CN"/>
        </w:rPr>
        <w:t>国务院关于</w:t>
      </w: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23</w:t>
      </w:r>
      <w:r>
        <w:rPr>
          <w:rFonts w:hint="eastAsia" w:ascii="仿宋_GB2312" w:hAnsi="仿宋_GB2312" w:eastAsia="仿宋_GB2312"/>
          <w:sz w:val="32"/>
          <w:szCs w:val="32"/>
        </w:rPr>
        <w:t>年开展第</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次全国经济普查。按照国务院（国发[2007]35号）文件和《全国经济普查条例》第六条规定的要求</w:t>
      </w:r>
      <w:r>
        <w:rPr>
          <w:rFonts w:hint="eastAsia" w:ascii="仿宋_GB2312" w:hAnsi="仿宋_GB2312" w:eastAsia="仿宋_GB2312"/>
          <w:sz w:val="32"/>
          <w:szCs w:val="32"/>
          <w:lang w:eastAsia="zh-CN"/>
        </w:rPr>
        <w:t>，以及江西省统计局《关于</w:t>
      </w:r>
      <w:r>
        <w:rPr>
          <w:rFonts w:hint="eastAsia" w:ascii="仿宋_GB2312" w:hAnsi="仿宋_GB2312" w:eastAsia="仿宋_GB2312"/>
          <w:sz w:val="32"/>
          <w:szCs w:val="32"/>
          <w:lang w:val="en-US" w:eastAsia="zh-CN"/>
        </w:rPr>
        <w:t>成立第五次全国经济普查筹备领导小组及办公室的通知</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赣统字[2022]30号</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 要求</w:t>
      </w:r>
      <w:r>
        <w:rPr>
          <w:rFonts w:hint="eastAsia" w:ascii="仿宋_GB2312" w:hAnsi="仿宋_GB2312" w:eastAsia="仿宋_GB2312"/>
          <w:sz w:val="32"/>
          <w:szCs w:val="32"/>
        </w:rPr>
        <w:t>，“经济普查所需经费，由中央和地方各级人民政府共同负担，并列入相应年度的财政预算，按时拨付，确保到位”。根据</w:t>
      </w:r>
      <w:r>
        <w:rPr>
          <w:rFonts w:hint="eastAsia" w:ascii="仿宋_GB2312" w:hAnsi="仿宋_GB2312" w:eastAsia="仿宋_GB2312"/>
          <w:sz w:val="32"/>
          <w:szCs w:val="32"/>
          <w:lang w:val="en-US" w:eastAsia="zh-CN"/>
        </w:rPr>
        <w:t>《国家统计局关于做好第五次全国经济普查经费预算编制相关工作的通知》</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lang w:val="en-US" w:eastAsia="zh-CN"/>
        </w:rPr>
        <w:t>国统字〔</w:t>
      </w:r>
      <w:r>
        <w:rPr>
          <w:rFonts w:hint="default" w:ascii="仿宋_GB2312" w:hAnsi="仿宋_GB2312" w:eastAsia="仿宋_GB2312"/>
          <w:sz w:val="32"/>
          <w:szCs w:val="32"/>
          <w:lang w:val="en-US" w:eastAsia="zh-CN"/>
        </w:rPr>
        <w:t>2022</w:t>
      </w: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val="en-US" w:eastAsia="zh-CN"/>
        </w:rPr>
        <w:t>68</w:t>
      </w:r>
      <w:r>
        <w:rPr>
          <w:rFonts w:hint="eastAsia" w:ascii="仿宋_GB2312" w:hAnsi="仿宋_GB2312" w:eastAsia="仿宋_GB2312"/>
          <w:sz w:val="32"/>
          <w:szCs w:val="32"/>
          <w:lang w:val="en-US" w:eastAsia="zh-CN"/>
        </w:rPr>
        <w:t>号</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rPr>
        <w:t>文件精神，各级人民政府统计机构要抓紧编制好第</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次全国经济普查经费的预算和落实工作。</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default" w:ascii="仿宋_GB2312" w:hAnsi="仿宋_GB2312" w:eastAsia="仿宋_GB2312"/>
          <w:sz w:val="32"/>
          <w:szCs w:val="32"/>
          <w:lang w:val="en-US" w:eastAsia="zh-CN"/>
        </w:rPr>
      </w:pPr>
      <w:r>
        <w:rPr>
          <w:rFonts w:hint="eastAsia" w:ascii="仿宋_GB2312" w:hAnsi="仿宋_GB2312" w:eastAsia="仿宋_GB2312"/>
          <w:sz w:val="32"/>
          <w:szCs w:val="32"/>
        </w:rPr>
        <w:t>第</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次全国经济普查涉及面广，参与部门多，技术要求高，工作难度大，是一项庞大的社会系统工程，普查经费是做好普查工作的基本保障。</w:t>
      </w:r>
      <w:r>
        <w:rPr>
          <w:rFonts w:hint="eastAsia" w:ascii="仿宋_GB2312" w:hAnsi="仿宋_GB2312" w:eastAsia="仿宋_GB2312"/>
          <w:sz w:val="32"/>
          <w:szCs w:val="32"/>
          <w:lang w:eastAsia="zh-CN"/>
        </w:rPr>
        <w:t>我区第五次全国经济普查对象初步测算</w:t>
      </w:r>
      <w:r>
        <w:rPr>
          <w:rFonts w:hint="eastAsia" w:ascii="仿宋_GB2312" w:hAnsi="仿宋_GB2312" w:eastAsia="仿宋_GB2312"/>
          <w:sz w:val="32"/>
          <w:szCs w:val="32"/>
          <w:lang w:val="en-US" w:eastAsia="zh-CN"/>
        </w:rPr>
        <w:t>7万个，在</w:t>
      </w:r>
      <w:r>
        <w:rPr>
          <w:rFonts w:hint="eastAsia" w:ascii="仿宋_GB2312" w:hAnsi="仿宋_GB2312" w:eastAsia="仿宋_GB2312"/>
          <w:sz w:val="32"/>
          <w:szCs w:val="32"/>
        </w:rPr>
        <w:t>第四次</w:t>
      </w:r>
      <w:r>
        <w:rPr>
          <w:rFonts w:hint="eastAsia" w:ascii="仿宋_GB2312" w:hAnsi="仿宋_GB2312" w:eastAsia="仿宋_GB2312"/>
          <w:sz w:val="32"/>
          <w:szCs w:val="32"/>
          <w:lang w:eastAsia="zh-CN"/>
        </w:rPr>
        <w:t>全国经济普查的基础上增加</w:t>
      </w:r>
      <w:r>
        <w:rPr>
          <w:rFonts w:hint="default" w:ascii="仿宋_GB2312" w:hAnsi="仿宋_GB2312" w:eastAsia="仿宋_GB2312"/>
          <w:sz w:val="32"/>
          <w:szCs w:val="32"/>
          <w:lang w:val="en-US" w:eastAsia="zh-CN"/>
        </w:rPr>
        <w:t>开展投入产出调查</w:t>
      </w:r>
      <w:r>
        <w:rPr>
          <w:rFonts w:hint="eastAsia" w:ascii="仿宋_GB2312" w:hAnsi="仿宋_GB2312" w:eastAsia="仿宋_GB2312"/>
          <w:sz w:val="32"/>
          <w:szCs w:val="32"/>
          <w:lang w:val="en-US" w:eastAsia="zh-CN"/>
        </w:rPr>
        <w:t>内容，为切实保障普查工作顺利开展，结合我区实际及历次经济普查经验，本着勤俭办事，厉行节约的原则，我局编制了</w:t>
      </w:r>
      <w:r>
        <w:rPr>
          <w:rFonts w:hint="eastAsia" w:ascii="仿宋_GB2312" w:hAnsi="仿宋_GB2312" w:eastAsia="仿宋_GB2312"/>
          <w:sz w:val="32"/>
          <w:szCs w:val="32"/>
          <w:lang w:eastAsia="zh-CN"/>
        </w:rPr>
        <w:t>第五次全国经济普查区本级</w:t>
      </w:r>
      <w:r>
        <w:rPr>
          <w:rFonts w:hint="eastAsia" w:ascii="仿宋_GB2312" w:hAnsi="仿宋_GB2312" w:eastAsia="仿宋_GB2312"/>
          <w:sz w:val="32"/>
          <w:szCs w:val="32"/>
          <w:lang w:val="en-US" w:eastAsia="zh-CN"/>
        </w:rPr>
        <w:t>2023年经费预算，共计150万元</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已向区政府申请拨付经费150万元，专项用于渝水区第五次全国经济2023年普查。2023年已使用资金132.89万，剩余资金结转到2024年使用，预算执行率88.6%。</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（二）项目绩效目标。包括总体目标和阶段性目标。</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总体目标：普查全面查清二、三产业和个体经营户情况。分四个年度三个阶段完年度目标:通过清查摸清我区各类单位的基本情况成:2023年主要是普查准备阶段，完成机构组建、人员经费落实，进及个体户情况，掌握我区第二产业和第三产业的发行普查试点，选调和培训普查两员，部署投入产出调查，开展单清查展规模及布局，开展投入产出调查。比对，组织宣传动员等:2024年主要是普查登记及数据处理阶段，组织入户宣传、完成普查登记、进行数据审校、数据处理、质量评估与抽查、数据汇总上报等:2025年主要是普查数据开发应用与总结表彰阶段，主要是发布普查公报，编印普查资料，开展分析研究，更新名录库，普查工作总结表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阶段性目标：通过清查摸清我区各类单位的基本情况成:2023年主要是普查准备阶段，完成机构组建、人员经费落实，进及个体户情况，掌握我区第二产业和第三产业的发行普查试点，选调和培训普查两员，部署投入产出调查，开展单清查展规模及布局，开展投入</w:t>
      </w:r>
      <w:r>
        <w:rPr>
          <w:rFonts w:hint="eastAsia" w:ascii="仿宋_GB2312" w:hAnsi="仿宋_GB2312" w:eastAsia="仿宋_GB2312"/>
          <w:sz w:val="32"/>
          <w:szCs w:val="32"/>
          <w:lang w:eastAsia="zh-CN"/>
        </w:rPr>
        <w:t>产出调查。</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二、绩效评价工作开展情况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（一）绩效评价目的、对象和范围。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1、绩效评价目的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通过开展渝水区第五次全国经济普查项目资金的绩效评价，分析该项目各项指标是否达到预期完成情况，评价资金使用的规范性和有效性，并及时总结经验，分析存在问题，提出改进意见和建议，促进本单位提升财政项目资金的预算绩效管理工作水平，强化支出责任，优化资源配置效率，提高财政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2、绩效评价对象和范围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本项目绩效评价对象为渝水区统计局第五次全国经济普查项目，本次绩效评价范围是：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（1）绩效目标与战略发展规划的适应性；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（2）财政资金使用情况、财务管理状况；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（3）为加强管理所制定的相关制度、采取的措施等；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（4）绩效目标的实现程度，包括是否达到预定产出和效果等；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（5）需要评价的其他内容。</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绩效评价原则、评价指标体系（附表说明）、评价方法、评价标准等。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cs="Times New Roman"/>
          <w:kern w:val="2"/>
          <w:sz w:val="32"/>
          <w:szCs w:val="32"/>
          <w:lang w:val="en-US" w:eastAsia="zh-CN" w:bidi="ar-SA"/>
        </w:rPr>
        <w:t xml:space="preserve"> 1、绩效评价原则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（1）客观、科学、公正的原则；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（2）综合绩效评价的原则；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（3）定量分析与定性分析的原则；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（4）统筹规划、稳步推进的原则；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（5）财政支出绩效评价与财政支出管理相结合的原则；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（6）财政支出绩效评价贯彻事前、事中、事后的原则。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2、评价指标体系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333333"/>
          <w:spacing w:val="0"/>
          <w:sz w:val="32"/>
          <w:szCs w:val="32"/>
          <w:shd w:val="clear" w:color="auto" w:fill="FFFFFF"/>
        </w:rPr>
        <w:t>本项目绩效评价建立了三级评价指标体系，见下表：</w:t>
      </w: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9"/>
        <w:gridCol w:w="1862"/>
        <w:gridCol w:w="2806"/>
        <w:gridCol w:w="1484"/>
        <w:gridCol w:w="2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2023年渝水区统计局第五次经济普查经费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317-新余市渝水区统计局（部门）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07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在我区开展第五次经济普查培训会3次以上，印刷普查资料7350本，印刷普查一封信70000封，保障第五次经济普查顺利开展。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2023年经济普查经费</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参加培训的人数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业务培训的次数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印刷普查资料</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印刷普查一封信</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≥70000封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培训出席率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印刷品验收合格率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培训完成及时率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资料印刷及时率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保障第五次经济普查顺利开展</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受益对象满意度</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3、评价方法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主要依据是各项目资金管理的相关法律法规和政策性文件、根据《中共渝水区委办公室  渝水区人民政府办公室关于印发渝水区全面实施预算绩效管理的实施意见的通知》（渝党办字【2020】5号）、《推进全区预算绩效管理提质增效工作方案》（渝财【2022】132号）、《渝水区财政局关于开展2023年单位自评及部门评价工作的通知》（渝财【2024】52号）文件精神，由区统计局绩效评价工作组组织项目支出绩效评价，采取抽样调查、指标分析、座谈研讨、询问查证、问卷调查和数据分析汇总等方法进行，最后出具绩效评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4、评价标准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项目按照项目决策指标、项目过程指标、项目产出指标、项目效益指标、项目满意度指标五项一级指标分别下设相应的二级和三级指标进行绩效评价。评分分为优秀、良好、中等和差四个等次。满分100分，分数在90分(含90分)以上评优秀；分数在80(含80分) -90之间评良好；分数在60(含60分) -80分为中；60分以下评差。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default" w:ascii="仿宋_GB2312" w:hAnsi="仿宋_GB2312" w:eastAsia="仿宋_GB2312"/>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绩效评价工作过程。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 xml:space="preserve"> 区统计局绩效评价工作组根据《渝水区财政局关于开展2023年单位自评及部门评价工作的通知》（渝财【2024】52号）文件精神，按照预先设定的绩效目标，整理项目情况，并就所掌握内容，通过电话、赣政通等方式，与项目有关人员进一步核实，最后，对核对确认后的数据、资料、图册、文件等信息进行综合分析，对项目绩效进行评分，并撰写绩效评价报告。</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综合评价情况及评价结论（附相关评分表）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黑体" w:hAnsi="黑体" w:eastAsia="黑体"/>
          <w:sz w:val="32"/>
          <w:szCs w:val="32"/>
          <w:lang w:val="en-US" w:eastAsia="zh-CN"/>
        </w:rPr>
        <w:t xml:space="preserve"> </w:t>
      </w:r>
      <w:r>
        <w:rPr>
          <w:rFonts w:hint="eastAsia" w:ascii="仿宋_GB2312" w:hAnsi="仿宋_GB2312" w:eastAsia="仿宋_GB2312" w:cs="Times New Roman"/>
          <w:kern w:val="2"/>
          <w:sz w:val="32"/>
          <w:szCs w:val="32"/>
          <w:lang w:val="en-US" w:eastAsia="zh-CN" w:bidi="ar-SA"/>
        </w:rPr>
        <w:t xml:space="preserve"> 2023年度第五次全国经济普查项目绩效目标完成较好。围绕绩效评价指标体系，通过收集汇总数据、图文资料及电话回访等方式，对该项目绩效进行了客观、公正的评价，最终评价结果为97分，评价等级为优。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（一）项目决策情况。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1、项目立项情况分析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立项依据充分性：根据《全国经济普查条例》规定，对第五次全国经济普查数据进行应用和资料开发工作，深入挖掘普查数据信息价值。项目立项符合相关政策，与部门职责范围相符，属于部门履职所需；本项目属于公共财政支持范围，本项目未与相关部门同类项目或部门内部相关项目重复。因此，项目立项依据充分，评分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（2）立项程序规范性：项目按照规定的程序申请设立；审批文件、材料符合相关要求；事前经过必要的可行性研究、风险评估、绩效评估、集体决策。因此，项目立项程序规范，评分为2.5分。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2、绩效目标设置情况分析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绩效目标合理性：本项目有绩效目标，且与实际工作内容具有相关性；项目预期产出效益和效果符合正常的业绩水平；本项目与预算确定的项目资金量相匹配。因此，绩效目标设置具有合理性，评分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（2）绩效指标明确性：将项目绩效目标细化分解为具体的绩效指标，通过清晰、可衡量的指标值予以体现，且设置的绩效目标与项目目标任务数相对应。因此，绩效目标设置具有明确性，评分为2.5分。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3、资金投入情况分析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预算编制科学性：预算编制经过科学论证；预算内容与项目内容相匹配；预算额度测算依据充分，按照标准编制；预算确定的项目投资额或资金量与工作任务相匹配。因此，预算编制具有科学性，评分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eastAsia" w:ascii="仿宋_GB2312" w:hAnsi="仿宋_GB2312" w:eastAsia="仿宋_GB2312"/>
          <w:sz w:val="32"/>
          <w:szCs w:val="32"/>
        </w:rPr>
      </w:pPr>
      <w:r>
        <w:rPr>
          <w:rFonts w:hint="eastAsia" w:ascii="仿宋_GB2312" w:hAnsi="仿宋_GB2312" w:eastAsia="仿宋_GB2312" w:cs="Times New Roman"/>
          <w:kern w:val="2"/>
          <w:sz w:val="32"/>
          <w:szCs w:val="32"/>
          <w:lang w:val="en-US" w:eastAsia="zh-CN" w:bidi="ar-SA"/>
        </w:rPr>
        <w:t>（2）资金分配合理性：预算资金分配依据充分合理；资金分配额度合理，与实际相适应。因此，资金分配具有合理性，评分为2.5分。</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（二）项目过程情况。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1、资金管理情况分析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（1）资金到位率：截止2023年12月31日，全部由区财政拨款到位，资金到位率100%，评分为2.5分。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（2）预算执行率：2023年项目资金实际执行132.89万元，项目资金使用率为88.6%。评分为2分。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资金使用合规性分析：本单位项目实施符合国家财经法规和财务管理制度以及有关专项资金管理办法的规定；资金的拨付有完整的审批程序和手续；符合项目预算批复规定的用途；不存在截留、挤占、挪用、虚列支出等情况。评分为10分。</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（三）项目产出情况。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管理制度健全性：在业务管理方面，制定了相应的普查登记工作方案，符合《全国经济普查条例》。在财务管理方面，各项普查经费支出，严格遵守各项财经纪律和财务制度。因此，管理制度具有健全性，评分为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制度执行有效性：对普查成果的数据应用和资料开发工作也是按照既定的工作流程及要求展开。在资金管理方面，将项目资金纳入单位财务统一管理，对项目经费进行专项核算，做到了专款专用。因此，制度执行具有效性，评分为5分。</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（四）项目效益情况。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1、产出数量指标情况分析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2023年第五次经济普查参加培训的人数大于200人，业务培训次数超过3次，印刷普查资料大于7350本，印刷普查一封信大于70000封，业务综上所述，产出数量指标完成情况较好，经考核，本次评分为10分。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2、产出质量指标情况分析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320" w:firstLineChars="100"/>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2023年第五次经济普查培训出席率大于95%，印刷品验收合格率100%。综上所述，产出质量指标完成情况较好，经考核，本次评分为10分。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3、产出时效指标情况分析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_GB2312" w:hAnsi="仿宋_GB2312" w:eastAsia="仿宋_GB2312" w:cs="Times New Roman"/>
          <w:kern w:val="2"/>
          <w:sz w:val="32"/>
          <w:szCs w:val="32"/>
          <w:lang w:val="en-US" w:eastAsia="zh-CN" w:bidi="ar-SA"/>
        </w:rPr>
      </w:pPr>
      <w:r>
        <w:rPr>
          <w:rFonts w:hint="eastAsia" w:ascii="仿宋" w:hAnsi="仿宋" w:eastAsia="仿宋" w:cs="仿宋"/>
          <w:i w:val="0"/>
          <w:iCs w:val="0"/>
          <w:caps w:val="0"/>
          <w:color w:val="333333"/>
          <w:spacing w:val="0"/>
          <w:sz w:val="32"/>
          <w:szCs w:val="32"/>
          <w:shd w:val="clear" w:color="auto" w:fill="FFFFFF"/>
          <w:lang w:val="en-US" w:eastAsia="zh-CN"/>
        </w:rPr>
        <w:t>2023年第五次经济普查培训完成及时率=100%，资料印刷及时率=100%。</w:t>
      </w:r>
      <w:r>
        <w:rPr>
          <w:rFonts w:hint="eastAsia" w:ascii="仿宋_GB2312" w:hAnsi="仿宋_GB2312" w:eastAsia="仿宋_GB2312" w:cs="Times New Roman"/>
          <w:kern w:val="2"/>
          <w:sz w:val="32"/>
          <w:szCs w:val="32"/>
          <w:lang w:val="en-US" w:eastAsia="zh-CN" w:bidi="ar-SA"/>
        </w:rPr>
        <w:t>综上所述，产出质量指标完成情况较好，经考核，本次评分为10分。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4、产出成本指标情况分析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2023年度第五次全国经济普查项目支出符合国家或相关部门支出标准。2023年的普查经费成本控制小于150万元。经考核，评分为10分。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（四）项目效益情况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1、社会效益指标情况分析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default"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第五次全国经济普查对全面掌握第二、三产业发展现状，准确反映经济社会发展成果具有十分重大的意义。经考核，产出社会效益指标整体完成情况较好，本次评分为10分。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（五）项目满意度情况分析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rPr>
        <w:t>经调查，社会公众满意度达到年初设定9</w:t>
      </w:r>
      <w:r>
        <w:rPr>
          <w:rFonts w:hint="eastAsia" w:ascii="仿宋" w:hAnsi="仿宋" w:eastAsia="仿宋" w:cs="仿宋"/>
          <w:i w:val="0"/>
          <w:iCs w:val="0"/>
          <w:caps w:val="0"/>
          <w:color w:val="333333"/>
          <w:spacing w:val="0"/>
          <w:sz w:val="32"/>
          <w:szCs w:val="32"/>
          <w:shd w:val="clear" w:color="auto" w:fill="FFFFFF"/>
          <w:lang w:val="en-US" w:eastAsia="zh-CN"/>
        </w:rPr>
        <w:t>2</w:t>
      </w:r>
      <w:r>
        <w:rPr>
          <w:rFonts w:hint="eastAsia" w:ascii="仿宋" w:hAnsi="仿宋" w:eastAsia="仿宋" w:cs="仿宋"/>
          <w:i w:val="0"/>
          <w:iCs w:val="0"/>
          <w:caps w:val="0"/>
          <w:color w:val="333333"/>
          <w:spacing w:val="0"/>
          <w:sz w:val="32"/>
          <w:szCs w:val="32"/>
          <w:shd w:val="clear" w:color="auto" w:fill="FFFFFF"/>
        </w:rPr>
        <w:t>%的预期标准，经考核，得</w:t>
      </w:r>
      <w:r>
        <w:rPr>
          <w:rFonts w:hint="eastAsia" w:ascii="仿宋" w:hAnsi="仿宋" w:eastAsia="仿宋" w:cs="仿宋"/>
          <w:i w:val="0"/>
          <w:iCs w:val="0"/>
          <w:caps w:val="0"/>
          <w:color w:val="333333"/>
          <w:spacing w:val="0"/>
          <w:sz w:val="32"/>
          <w:szCs w:val="32"/>
          <w:shd w:val="clear" w:color="auto" w:fill="FFFFFF"/>
          <w:lang w:val="en-US" w:eastAsia="zh-CN"/>
        </w:rPr>
        <w:t>10</w:t>
      </w:r>
      <w:r>
        <w:rPr>
          <w:rFonts w:hint="eastAsia" w:ascii="仿宋" w:hAnsi="仿宋" w:eastAsia="仿宋" w:cs="仿宋"/>
          <w:i w:val="0"/>
          <w:iCs w:val="0"/>
          <w:caps w:val="0"/>
          <w:color w:val="333333"/>
          <w:spacing w:val="0"/>
          <w:sz w:val="32"/>
          <w:szCs w:val="32"/>
          <w:shd w:val="clear" w:color="auto"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五、主要经验及做法、存在的问题及原因分析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default"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1、主要经验及做法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default"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一是严格遵守制度。在普查项目实施过程中，严格遵守普查制度与方案，加强对各级普查机构、普查对象业务指导，强调各级、各单位报送时间、报送质量，不断推进普查工作深入顺利开展。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二是精心组织安排。自五经普工作启动以来，我区经济普查工作在区、市委、市政府的大力支持下，在省经普办的精心指导下，在有关部门的密切配合下，全区各级普查机构紧紧围绕五经普这个工作重心和省经普办的总体部署，提前谋划、精心准备、认真实施、主动作为、狠抓落实，切实做好全区经济普查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省经普办核查组对新余市渝水区城南街道的两个社区开展了清查数据质量核查，反馈存在未严格按照方案要求实地入户、遗漏清查对象、清查表对象填写不准确不规范、培训指导不到位等问题。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3"/>
        <w:jc w:val="both"/>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3、原因分析</w:t>
      </w:r>
    </w:p>
    <w:p>
      <w:pPr>
        <w:numPr>
          <w:ilvl w:val="0"/>
          <w:numId w:val="0"/>
        </w:numPr>
        <w:ind w:leftChars="0" w:firstLine="640" w:firstLineChars="200"/>
        <w:rPr>
          <w:rFonts w:hint="default"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2023年普查员身兼数职，业务繁忙没做到脱岗、专职投入，普查员业务水平参差不齐，渝水区对反馈问题高度重视，第一时间进行整改，渝水区统计局将切实扛起普查责任，将“数据质量第一”原则贯穿普查工作全过程，在确保清查进度和覆盖率的基础上，切实推动普查工作按时、高效、准确完成。</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rPr>
          <w:rFonts w:hint="eastAsia" w:ascii="黑体" w:hAnsi="黑体" w:eastAsia="黑体"/>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有关建议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黑体" w:hAnsi="黑体" w:eastAsia="黑体"/>
          <w:sz w:val="32"/>
          <w:szCs w:val="32"/>
          <w:lang w:val="en-US" w:eastAsia="zh-CN"/>
        </w:rPr>
        <w:t xml:space="preserve"> </w:t>
      </w:r>
      <w:r>
        <w:rPr>
          <w:rFonts w:hint="eastAsia" w:ascii="仿宋" w:hAnsi="仿宋" w:eastAsia="仿宋" w:cs="仿宋"/>
          <w:i w:val="0"/>
          <w:iCs w:val="0"/>
          <w:caps w:val="0"/>
          <w:color w:val="333333"/>
          <w:spacing w:val="0"/>
          <w:sz w:val="32"/>
          <w:szCs w:val="32"/>
          <w:shd w:val="clear" w:color="auto" w:fill="FFFFFF"/>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default" w:ascii="仿宋" w:hAnsi="仿宋" w:eastAsia="仿宋" w:cs="仿宋"/>
          <w:i w:val="0"/>
          <w:iCs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七、其他需要说明的问题</w:t>
      </w:r>
    </w:p>
    <w:p>
      <w:pPr>
        <w:numPr>
          <w:ilvl w:val="0"/>
          <w:numId w:val="0"/>
        </w:numPr>
        <w:ind w:leftChars="0" w:firstLine="640" w:firstLineChars="200"/>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无</w:t>
      </w:r>
    </w:p>
    <w:p>
      <w:pPr>
        <w:spacing w:line="600" w:lineRule="exact"/>
        <w:rPr>
          <w:rFonts w:hint="eastAsia" w:ascii="仿宋_GB2312" w:eastAsia="仿宋_GB2312"/>
          <w:sz w:val="32"/>
          <w:szCs w:val="32"/>
          <w:lang w:eastAsia="zh-CN"/>
        </w:rPr>
      </w:pPr>
    </w:p>
    <w:p>
      <w:pPr>
        <w:spacing w:line="578" w:lineRule="exact"/>
        <w:jc w:val="both"/>
        <w:rPr>
          <w:rFonts w:hint="eastAsia" w:ascii="宋体" w:hAnsi="宋体" w:eastAsia="宋体" w:cs="宋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sz w:val="44"/>
          <w:szCs w:val="44"/>
          <w:lang w:eastAsia="zh-CN"/>
        </w:rPr>
      </w:pPr>
    </w:p>
    <w:p/>
    <w:p/>
    <w:p/>
    <w:p/>
    <w:p/>
    <w:p>
      <w:pPr>
        <w:spacing w:line="578"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部门</w:t>
      </w:r>
      <w:r>
        <w:rPr>
          <w:rFonts w:hint="eastAsia" w:ascii="方正小标宋简体" w:hAnsi="方正小标宋简体" w:eastAsia="方正小标宋简体" w:cs="方正小标宋简体"/>
          <w:b w:val="0"/>
          <w:bCs/>
          <w:sz w:val="44"/>
          <w:szCs w:val="44"/>
        </w:rPr>
        <w:t>评价表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sz w:val="44"/>
          <w:szCs w:val="44"/>
        </w:rPr>
      </w:pPr>
    </w:p>
    <w:tbl>
      <w:tblPr>
        <w:tblStyle w:val="4"/>
        <w:tblpPr w:leftFromText="180" w:rightFromText="180" w:vertAnchor="text" w:horzAnchor="page" w:tblpX="1641"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项目名称：</w:t>
            </w:r>
          </w:p>
        </w:tc>
        <w:tc>
          <w:tcPr>
            <w:tcW w:w="6822" w:type="dxa"/>
            <w:gridSpan w:val="12"/>
            <w:noWrap w:val="0"/>
            <w:vAlign w:val="center"/>
          </w:tcPr>
          <w:p>
            <w:pPr>
              <w:spacing w:line="300" w:lineRule="exact"/>
              <w:ind w:left="0" w:leftChars="0" w:right="0" w:rightChars="0" w:firstLine="0" w:firstLineChars="0"/>
              <w:rPr>
                <w:rFonts w:hint="eastAsia" w:ascii="宋体" w:hAnsi="宋体" w:eastAsia="宋体"/>
                <w:sz w:val="21"/>
                <w:szCs w:val="21"/>
              </w:rPr>
            </w:pPr>
            <w:r>
              <w:rPr>
                <w:rFonts w:hint="eastAsia" w:ascii="仿宋" w:hAnsi="仿宋" w:eastAsia="仿宋" w:cs="仿宋"/>
                <w:sz w:val="28"/>
                <w:szCs w:val="32"/>
                <w:u w:val="none"/>
                <w:lang w:val="en-US" w:eastAsia="zh-CN"/>
              </w:rPr>
              <w:t>2023年渝水区统计局第五次经济普查经费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主管部门</w:t>
            </w:r>
          </w:p>
        </w:tc>
        <w:tc>
          <w:tcPr>
            <w:tcW w:w="1476" w:type="dxa"/>
            <w:gridSpan w:val="3"/>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区统计局</w:t>
            </w:r>
          </w:p>
        </w:tc>
        <w:tc>
          <w:tcPr>
            <w:tcW w:w="3241" w:type="dxa"/>
            <w:gridSpan w:val="6"/>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项目实施单位</w:t>
            </w:r>
          </w:p>
        </w:tc>
        <w:tc>
          <w:tcPr>
            <w:tcW w:w="2105"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sz w:val="21"/>
                <w:szCs w:val="21"/>
                <w:lang w:val="en-US" w:eastAsia="zh-CN"/>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项目负责人</w:t>
            </w:r>
          </w:p>
        </w:tc>
        <w:tc>
          <w:tcPr>
            <w:tcW w:w="1476" w:type="dxa"/>
            <w:gridSpan w:val="3"/>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肖亮</w:t>
            </w:r>
          </w:p>
        </w:tc>
        <w:tc>
          <w:tcPr>
            <w:tcW w:w="3241" w:type="dxa"/>
            <w:gridSpan w:val="6"/>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联系电话</w:t>
            </w:r>
          </w:p>
        </w:tc>
        <w:tc>
          <w:tcPr>
            <w:tcW w:w="2105" w:type="dxa"/>
            <w:gridSpan w:val="3"/>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19907909819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项目类型</w:t>
            </w:r>
          </w:p>
        </w:tc>
        <w:tc>
          <w:tcPr>
            <w:tcW w:w="6822" w:type="dxa"/>
            <w:gridSpan w:val="12"/>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 xml:space="preserve">经常性项目（ </w:t>
            </w:r>
            <w:r>
              <w:rPr>
                <w:rFonts w:hint="eastAsia" w:ascii="宋体" w:hAnsi="宋体"/>
                <w:sz w:val="21"/>
                <w:szCs w:val="21"/>
                <w:lang w:val="en-US" w:eastAsia="zh-CN"/>
              </w:rPr>
              <w:t>√</w:t>
            </w:r>
            <w:r>
              <w:rPr>
                <w:rFonts w:hint="eastAsia" w:ascii="宋体" w:hAnsi="宋体" w:eastAsia="宋体"/>
                <w:sz w:val="21"/>
                <w:szCs w:val="21"/>
              </w:rPr>
              <w:t xml:space="preserve">  ）       一次性项目（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计划投资额</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（万元）</w:t>
            </w:r>
          </w:p>
        </w:tc>
        <w:tc>
          <w:tcPr>
            <w:tcW w:w="1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150</w:t>
            </w:r>
          </w:p>
        </w:tc>
        <w:tc>
          <w:tcPr>
            <w:tcW w:w="15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实际到位资金（万元）</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150</w:t>
            </w:r>
          </w:p>
        </w:tc>
        <w:tc>
          <w:tcPr>
            <w:tcW w:w="13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实际使用情况（万元）</w:t>
            </w: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122" w:type="dxa"/>
            <w:gridSpan w:val="2"/>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03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122" w:type="dxa"/>
            <w:gridSpan w:val="2"/>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03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122" w:type="dxa"/>
            <w:gridSpan w:val="2"/>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132.89</w:t>
            </w: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034" w:type="dxa"/>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132.89</w:t>
            </w: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122" w:type="dxa"/>
            <w:gridSpan w:val="2"/>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03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b/>
                <w:bCs/>
                <w:sz w:val="21"/>
                <w:szCs w:val="21"/>
              </w:rPr>
              <w:t>二、</w:t>
            </w:r>
            <w:r>
              <w:rPr>
                <w:rFonts w:hint="eastAsia" w:ascii="宋体" w:hAnsi="宋体" w:eastAsia="宋体"/>
                <w:b/>
                <w:color w:val="000000"/>
                <w:sz w:val="21"/>
                <w:szCs w:val="21"/>
              </w:rPr>
              <w:t>绩效评价指标评分（参考）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绩效目标</w:t>
            </w:r>
          </w:p>
        </w:tc>
        <w:tc>
          <w:tcPr>
            <w:tcW w:w="759" w:type="dxa"/>
            <w:vMerge w:val="restart"/>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过程</w:t>
            </w:r>
          </w:p>
        </w:tc>
        <w:tc>
          <w:tcPr>
            <w:tcW w:w="916" w:type="dxa"/>
            <w:gridSpan w:val="2"/>
            <w:vMerge w:val="continue"/>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color w:val="000000"/>
                <w:sz w:val="21"/>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759" w:type="dxa"/>
            <w:vMerge w:val="continue"/>
            <w:tcBorders>
              <w:left w:val="single" w:color="000000" w:sz="4" w:space="0"/>
              <w:bottom w:val="single" w:color="auto"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60</w:t>
            </w: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实际完成率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产出质量</w:t>
            </w:r>
          </w:p>
        </w:tc>
        <w:tc>
          <w:tcPr>
            <w:tcW w:w="759" w:type="dxa"/>
            <w:tcBorders>
              <w:top w:val="single" w:color="auto" w:sz="4" w:space="0"/>
              <w:left w:val="single" w:color="000000" w:sz="4" w:space="0"/>
              <w:bottom w:val="single" w:color="000000" w:sz="4" w:space="0"/>
              <w:right w:val="single" w:color="auto"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质量达标率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产出时效</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完成及时性</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产出成本</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成本控制率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社会效益</w:t>
            </w:r>
          </w:p>
        </w:tc>
        <w:tc>
          <w:tcPr>
            <w:tcW w:w="759" w:type="dxa"/>
            <w:tcBorders>
              <w:top w:val="single" w:color="000000" w:sz="4" w:space="0"/>
              <w:left w:val="single" w:color="000000" w:sz="4" w:space="0"/>
              <w:bottom w:val="single" w:color="000000" w:sz="4" w:space="0"/>
              <w:right w:val="single" w:color="auto"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实施效益</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sz w:val="21"/>
                <w:szCs w:val="21"/>
              </w:rPr>
            </w:pPr>
            <w:r>
              <w:rPr>
                <w:rFonts w:hint="eastAsia" w:ascii="宋体" w:hAnsi="宋体" w:eastAsia="宋体"/>
                <w:color w:val="000000"/>
                <w:sz w:val="21"/>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color w:val="000000"/>
                <w:sz w:val="21"/>
                <w:szCs w:val="21"/>
              </w:rPr>
            </w:pPr>
            <w:r>
              <w:rPr>
                <w:rFonts w:hint="eastAsia" w:ascii="宋体" w:hAnsi="宋体" w:eastAsia="宋体"/>
                <w:color w:val="000000"/>
                <w:sz w:val="21"/>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bCs/>
                <w:color w:val="000000"/>
                <w:sz w:val="21"/>
                <w:szCs w:val="21"/>
                <w:lang w:val="en-US" w:eastAsia="zh-CN"/>
              </w:rPr>
            </w:pPr>
            <w:r>
              <w:rPr>
                <w:rFonts w:hint="eastAsia" w:ascii="宋体" w:hAnsi="宋体"/>
                <w:bCs/>
                <w:color w:val="000000"/>
                <w:sz w:val="21"/>
                <w:szCs w:val="21"/>
                <w:lang w:val="en-US" w:eastAsia="zh-CN"/>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评价等次</w:t>
            </w:r>
          </w:p>
        </w:tc>
        <w:tc>
          <w:tcPr>
            <w:tcW w:w="7336" w:type="dxa"/>
            <w:gridSpan w:val="1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cs="宋体"/>
                <w:color w:val="000000"/>
                <w:kern w:val="0"/>
                <w:sz w:val="21"/>
                <w:szCs w:val="21"/>
              </w:rPr>
              <w:t>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 xml:space="preserve">        良□       中 □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7336" w:type="dxa"/>
            <w:gridSpan w:val="1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r>
              <w:rPr>
                <w:rFonts w:hint="eastAsia" w:ascii="宋体" w:hAnsi="宋体" w:eastAsia="宋体" w:cs="宋体"/>
                <w:color w:val="000000"/>
                <w:kern w:val="0"/>
                <w:sz w:val="21"/>
                <w:szCs w:val="21"/>
              </w:rPr>
              <w:t>-90（含）分为优、</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-80（含）分为良、</w:t>
            </w:r>
            <w:r>
              <w:rPr>
                <w:rFonts w:hint="eastAsia" w:ascii="宋体" w:hAnsi="宋体" w:eastAsia="宋体" w:cs="宋体"/>
                <w:color w:val="000000"/>
                <w:kern w:val="0"/>
                <w:sz w:val="21"/>
                <w:szCs w:val="21"/>
                <w:lang w:val="en-US" w:eastAsia="zh-CN"/>
              </w:rPr>
              <w:t>80</w:t>
            </w:r>
            <w:r>
              <w:rPr>
                <w:rFonts w:hint="eastAsia" w:ascii="宋体" w:hAnsi="宋体" w:eastAsia="宋体" w:cs="宋体"/>
                <w:color w:val="000000"/>
                <w:kern w:val="0"/>
                <w:sz w:val="21"/>
                <w:szCs w:val="21"/>
              </w:rPr>
              <w:t>-60（含）分为中、60分以下为差</w:t>
            </w:r>
          </w:p>
        </w:tc>
      </w:tr>
    </w:tbl>
    <w:p>
      <w:pPr>
        <w:rPr>
          <w:rFonts w:hint="eastAsia" w:ascii="仿宋_GB2312" w:eastAsia="仿宋_GB2312"/>
          <w:sz w:val="32"/>
          <w:szCs w:val="32"/>
          <w:lang w:val="en" w:eastAsia="zh-CN"/>
        </w:rPr>
      </w:pPr>
      <w:r>
        <w:rPr>
          <w:rFonts w:hint="eastAsia" w:ascii="仿宋" w:hAnsi="仿宋" w:eastAsia="仿宋" w:cs="仿宋"/>
          <w:sz w:val="21"/>
          <w:szCs w:val="24"/>
          <w:lang w:eastAsia="zh-CN"/>
        </w:rPr>
        <w:t>注：指标可参考财政部《项目支出绩效评价管理办法》中附件</w:t>
      </w:r>
      <w:r>
        <w:rPr>
          <w:rFonts w:hint="eastAsia" w:ascii="仿宋" w:hAnsi="仿宋" w:eastAsia="仿宋" w:cs="仿宋"/>
          <w:sz w:val="21"/>
          <w:szCs w:val="24"/>
          <w:lang w:val="en-US" w:eastAsia="zh-CN"/>
        </w:rPr>
        <w:t>2：《项目支出绩效评价指标体系框架》</w:t>
      </w:r>
      <w:r>
        <w:rPr>
          <w:rFonts w:hint="eastAsia" w:ascii="仿宋" w:hAnsi="仿宋" w:eastAsia="仿宋" w:cs="仿宋"/>
          <w:sz w:val="21"/>
          <w:szCs w:val="24"/>
          <w:lang w:eastAsia="zh-CN"/>
        </w:rPr>
        <w:t>设置</w:t>
      </w:r>
      <w:r>
        <w:rPr>
          <w:rFonts w:hint="eastAsia" w:ascii="仿宋" w:hAnsi="仿宋" w:eastAsia="仿宋" w:cs="仿宋"/>
          <w:sz w:val="21"/>
          <w:szCs w:val="24"/>
          <w:lang w:val="en-US" w:eastAsia="zh-CN"/>
        </w:rPr>
        <w:t>。</w:t>
      </w:r>
    </w:p>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etter Gothic Std">
    <w:altName w:val="Yu Gothic UI Semilight"/>
    <w:panose1 w:val="020B0409020202030304"/>
    <w:charset w:val="00"/>
    <w:family w:val="auto"/>
    <w:pitch w:val="default"/>
    <w:sig w:usb0="00000000" w:usb1="00000000" w:usb2="00000000" w:usb3="00000000" w:csb0="6000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4AB41"/>
    <w:multiLevelType w:val="singleLevel"/>
    <w:tmpl w:val="8D24AB41"/>
    <w:lvl w:ilvl="0" w:tentative="0">
      <w:start w:val="2"/>
      <w:numFmt w:val="chineseCounting"/>
      <w:suff w:val="nothing"/>
      <w:lvlText w:val="%1、"/>
      <w:lvlJc w:val="left"/>
      <w:rPr>
        <w:rFonts w:hint="eastAsia"/>
      </w:rPr>
    </w:lvl>
  </w:abstractNum>
  <w:abstractNum w:abstractNumId="1">
    <w:nsid w:val="CD01765C"/>
    <w:multiLevelType w:val="singleLevel"/>
    <w:tmpl w:val="CD01765C"/>
    <w:lvl w:ilvl="0" w:tentative="0">
      <w:start w:val="2"/>
      <w:numFmt w:val="chineseCounting"/>
      <w:suff w:val="nothing"/>
      <w:lvlText w:val="（%1）"/>
      <w:lvlJc w:val="left"/>
      <w:rPr>
        <w:rFonts w:hint="eastAsia"/>
      </w:rPr>
    </w:lvl>
  </w:abstractNum>
  <w:abstractNum w:abstractNumId="2">
    <w:nsid w:val="5742924F"/>
    <w:multiLevelType w:val="singleLevel"/>
    <w:tmpl w:val="5742924F"/>
    <w:lvl w:ilvl="0" w:tentative="0">
      <w:start w:val="3"/>
      <w:numFmt w:val="chineseCounting"/>
      <w:suff w:val="nothing"/>
      <w:lvlText w:val="%1、"/>
      <w:lvlJc w:val="left"/>
      <w:rPr>
        <w:rFonts w:hint="eastAsia"/>
      </w:rPr>
    </w:lvl>
  </w:abstractNum>
  <w:abstractNum w:abstractNumId="3">
    <w:nsid w:val="68ADA50E"/>
    <w:multiLevelType w:val="singleLevel"/>
    <w:tmpl w:val="68ADA50E"/>
    <w:lvl w:ilvl="0" w:tentative="0">
      <w:start w:val="1"/>
      <w:numFmt w:val="chineseCounting"/>
      <w:suff w:val="nothing"/>
      <w:lvlText w:val="（%1）"/>
      <w:lvlJc w:val="left"/>
      <w:rPr>
        <w:rFonts w:hint="eastAsia"/>
      </w:rPr>
    </w:lvl>
  </w:abstractNum>
  <w:abstractNum w:abstractNumId="4">
    <w:nsid w:val="765A276B"/>
    <w:multiLevelType w:val="singleLevel"/>
    <w:tmpl w:val="765A276B"/>
    <w:lvl w:ilvl="0" w:tentative="0">
      <w:start w:val="6"/>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jBkYjlhNDliMDFmODA1OTg1NDExMDUyMDBiMjcifQ=="/>
    <w:docVar w:name="KSO_WPS_MARK_KEY" w:val="55d3d3b6-05c3-45b3-a13d-732a2457d33e"/>
  </w:docVars>
  <w:rsids>
    <w:rsidRoot w:val="00000000"/>
    <w:rsid w:val="11B71FD8"/>
    <w:rsid w:val="224233D3"/>
    <w:rsid w:val="229E6982"/>
    <w:rsid w:val="31D514C8"/>
    <w:rsid w:val="38254367"/>
    <w:rsid w:val="3C844DD1"/>
    <w:rsid w:val="3F5B6D8A"/>
    <w:rsid w:val="3FBE087B"/>
    <w:rsid w:val="6F7622A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widowControl w:val="0"/>
      <w:kinsoku/>
      <w:autoSpaceDE/>
      <w:autoSpaceDN/>
      <w:adjustRightInd/>
      <w:snapToGrid/>
      <w:jc w:val="both"/>
      <w:textAlignment w:val="auto"/>
    </w:pPr>
    <w:rPr>
      <w:rFonts w:ascii="宋体" w:hAnsi="Letter Gothic Std" w:eastAsia="宋体" w:cs="Times New Roman"/>
      <w:snapToGrid/>
      <w:color w:val="auto"/>
      <w:kern w:val="2"/>
      <w:lang w:eastAsia="zh-CN"/>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uiPriority w:val="0"/>
    <w:pPr>
      <w:jc w:val="left"/>
    </w:pPr>
  </w:style>
  <w:style w:type="paragraph" w:customStyle="1" w:styleId="10">
    <w:name w:val="批注框文本1"/>
    <w:basedOn w:val="1"/>
    <w:link w:val="11"/>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 w:type="paragraph" w:customStyle="1" w:styleId="18">
    <w:name w:val="p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5232</Words>
  <Characters>6901</Characters>
  <Lines>119</Lines>
  <Paragraphs>33</Paragraphs>
  <TotalTime>0</TotalTime>
  <ScaleCrop>false</ScaleCrop>
  <LinksUpToDate>false</LinksUpToDate>
  <CharactersWithSpaces>7307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dc:creator>
  <cp:lastModifiedBy>猫九</cp:lastModifiedBy>
  <cp:lastPrinted>2024-05-22T07:51:00Z</cp:lastPrinted>
  <dcterms:modified xsi:type="dcterms:W3CDTF">2026-02-11T02:28:11Z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4DA2783BDE37443995E5D57E4C891C01_13</vt:lpwstr>
  </property>
  <property fmtid="{D5CDD505-2E9C-101B-9397-08002B2CF9AE}" pid="4" name="KSOTemplateDocerSaveRecord">
    <vt:lpwstr>eyJoZGlkIjoiOGM3MjdkYTQwN2RhNzZmMTYzY2YyNDdmODUwMWZmYjYiLCJ1c2VySWQiOiI4NTU0NDE4ODIifQ==</vt:lpwstr>
  </property>
</Properties>
</file>