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44" w:rsidRPr="005F3625" w:rsidRDefault="004230BB" w:rsidP="005F3625">
      <w:pPr>
        <w:spacing w:line="560" w:lineRule="exact"/>
        <w:jc w:val="center"/>
        <w:outlineLvl w:val="0"/>
        <w:rPr>
          <w:rFonts w:ascii="黑体" w:eastAsia="黑体" w:hAnsi="黑体"/>
          <w:b/>
          <w:color w:val="000000" w:themeColor="text1"/>
          <w:sz w:val="36"/>
          <w:szCs w:val="36"/>
        </w:rPr>
      </w:pPr>
      <w:bookmarkStart w:id="0" w:name="_Toc421917356"/>
      <w:r w:rsidRPr="005F3625">
        <w:rPr>
          <w:rFonts w:ascii="黑体" w:eastAsia="黑体" w:hAnsi="黑体" w:hint="eastAsia"/>
          <w:b/>
          <w:color w:val="000000" w:themeColor="text1"/>
          <w:sz w:val="36"/>
          <w:szCs w:val="36"/>
        </w:rPr>
        <w:t>普法宣传经费</w:t>
      </w:r>
      <w:r w:rsidR="007D577B" w:rsidRPr="005F3625">
        <w:rPr>
          <w:rFonts w:ascii="黑体" w:eastAsia="黑体" w:hAnsi="黑体" w:hint="eastAsia"/>
          <w:b/>
          <w:color w:val="000000" w:themeColor="text1"/>
          <w:sz w:val="36"/>
          <w:szCs w:val="36"/>
        </w:rPr>
        <w:t>项目</w:t>
      </w:r>
      <w:r w:rsidRPr="005F3625">
        <w:rPr>
          <w:rFonts w:ascii="黑体" w:eastAsia="黑体" w:hAnsi="黑体" w:hint="eastAsia"/>
          <w:b/>
          <w:color w:val="000000" w:themeColor="text1"/>
          <w:sz w:val="36"/>
          <w:szCs w:val="36"/>
        </w:rPr>
        <w:t>评价报告</w:t>
      </w:r>
      <w:bookmarkEnd w:id="0"/>
    </w:p>
    <w:p w:rsidR="006D0A44" w:rsidRPr="005F3625" w:rsidRDefault="006D0A44">
      <w:pPr>
        <w:spacing w:line="560" w:lineRule="exact"/>
        <w:ind w:firstLineChars="200" w:firstLine="640"/>
        <w:rPr>
          <w:rFonts w:ascii="仿宋_GB2312" w:eastAsia="仿宋_GB2312" w:hAnsi="仿宋"/>
          <w:color w:val="000000" w:themeColor="text1"/>
          <w:sz w:val="32"/>
          <w:szCs w:val="32"/>
        </w:rPr>
      </w:pPr>
    </w:p>
    <w:p w:rsidR="006D0A44" w:rsidRPr="005F3625" w:rsidRDefault="004230BB">
      <w:pPr>
        <w:spacing w:line="560" w:lineRule="exact"/>
        <w:outlineLvl w:val="1"/>
        <w:rPr>
          <w:rFonts w:ascii="黑体" w:eastAsia="黑体" w:hAnsi="黑体"/>
          <w:b/>
          <w:color w:val="000000" w:themeColor="text1"/>
          <w:sz w:val="32"/>
          <w:szCs w:val="32"/>
        </w:rPr>
      </w:pPr>
      <w:bookmarkStart w:id="1" w:name="_Toc421917357"/>
      <w:r w:rsidRPr="005F3625">
        <w:rPr>
          <w:rFonts w:ascii="黑体" w:eastAsia="黑体" w:hAnsi="黑体" w:hint="eastAsia"/>
          <w:b/>
          <w:color w:val="000000" w:themeColor="text1"/>
          <w:sz w:val="32"/>
          <w:szCs w:val="32"/>
        </w:rPr>
        <w:t>一、项目基本情况</w:t>
      </w:r>
      <w:bookmarkEnd w:id="1"/>
    </w:p>
    <w:p w:rsidR="006D0A44" w:rsidRPr="005F3625" w:rsidRDefault="004230BB">
      <w:pPr>
        <w:spacing w:line="560" w:lineRule="exact"/>
        <w:outlineLvl w:val="2"/>
        <w:rPr>
          <w:rFonts w:ascii="黑体" w:eastAsia="黑体" w:hAnsi="黑体"/>
          <w:b/>
          <w:color w:val="000000" w:themeColor="text1"/>
          <w:sz w:val="32"/>
          <w:szCs w:val="32"/>
        </w:rPr>
      </w:pPr>
      <w:bookmarkStart w:id="2" w:name="_Toc421917358"/>
      <w:r w:rsidRPr="005F3625">
        <w:rPr>
          <w:rFonts w:ascii="黑体" w:eastAsia="黑体" w:hAnsi="黑体" w:hint="eastAsia"/>
          <w:b/>
          <w:color w:val="000000" w:themeColor="text1"/>
          <w:sz w:val="32"/>
          <w:szCs w:val="32"/>
        </w:rPr>
        <w:t>（一）项目概况</w:t>
      </w:r>
      <w:bookmarkEnd w:id="2"/>
    </w:p>
    <w:p w:rsidR="006D0A44" w:rsidRPr="005F3625" w:rsidRDefault="004230BB">
      <w:pPr>
        <w:spacing w:line="560" w:lineRule="exact"/>
        <w:ind w:firstLineChars="49" w:firstLine="157"/>
        <w:outlineLvl w:val="2"/>
        <w:rPr>
          <w:rFonts w:ascii="黑体" w:eastAsia="黑体" w:hAnsi="黑体"/>
          <w:b/>
          <w:color w:val="000000" w:themeColor="text1"/>
          <w:sz w:val="32"/>
          <w:szCs w:val="32"/>
        </w:rPr>
      </w:pPr>
      <w:bookmarkStart w:id="3" w:name="_Toc421917359"/>
      <w:r w:rsidRPr="005F3625">
        <w:rPr>
          <w:rFonts w:ascii="黑体" w:eastAsia="黑体" w:hAnsi="黑体" w:hint="eastAsia"/>
          <w:b/>
          <w:color w:val="000000" w:themeColor="text1"/>
          <w:sz w:val="32"/>
          <w:szCs w:val="32"/>
        </w:rPr>
        <w:t>1、项目立项背景</w:t>
      </w:r>
      <w:bookmarkEnd w:id="3"/>
    </w:p>
    <w:p w:rsidR="006D0A44" w:rsidRPr="005F3625" w:rsidRDefault="004230BB">
      <w:pPr>
        <w:spacing w:line="560" w:lineRule="exact"/>
        <w:ind w:firstLineChars="200" w:firstLine="640"/>
        <w:outlineLvl w:val="2"/>
        <w:rPr>
          <w:rFonts w:ascii="仿宋_GB2312" w:eastAsia="仿宋_GB2312" w:hAnsi="仿宋_GB2312" w:cs="仿宋_GB2312"/>
          <w:bCs/>
          <w:color w:val="000000" w:themeColor="text1"/>
          <w:kern w:val="44"/>
          <w:sz w:val="32"/>
          <w:szCs w:val="32"/>
          <w:shd w:val="clear" w:color="auto" w:fill="FFFFFF"/>
        </w:rPr>
      </w:pPr>
      <w:r w:rsidRPr="005F3625">
        <w:rPr>
          <w:rFonts w:ascii="仿宋_GB2312" w:eastAsia="仿宋_GB2312" w:hAnsi="仿宋_GB2312" w:cs="仿宋_GB2312" w:hint="eastAsia"/>
          <w:bCs/>
          <w:color w:val="000000" w:themeColor="text1"/>
          <w:kern w:val="44"/>
          <w:sz w:val="32"/>
          <w:szCs w:val="32"/>
          <w:shd w:val="clear" w:color="auto" w:fill="FFFFFF"/>
        </w:rPr>
        <w:t>普法宣传，又称为法治宣传，是在全体公民中进行大规模普及法律常识的宣传教育活动，旨在帮助全体公民增强法治观念、知法守法、养成依法办事的习惯，是社会主义精神文明建设的重要组成部分。其主要形式有法治讲座、发放宣传资料、广场宣传等，涉及内容包括宪法、民法典、反诈、平安建设、公民权益保护等。</w:t>
      </w:r>
    </w:p>
    <w:p w:rsidR="006D0A44" w:rsidRPr="005F3625" w:rsidRDefault="004230BB">
      <w:pPr>
        <w:widowControl/>
        <w:spacing w:line="560" w:lineRule="exact"/>
        <w:ind w:firstLineChars="200" w:firstLine="640"/>
        <w:jc w:val="left"/>
        <w:rPr>
          <w:rFonts w:ascii="仿宋_GB2312" w:eastAsia="仿宋_GB2312" w:hAnsi="仿宋_GB2312" w:cs="仿宋_GB2312"/>
          <w:bCs/>
          <w:color w:val="000000" w:themeColor="text1"/>
          <w:kern w:val="44"/>
          <w:sz w:val="32"/>
          <w:szCs w:val="32"/>
          <w:shd w:val="clear" w:color="auto" w:fill="FFFFFF"/>
        </w:rPr>
      </w:pPr>
      <w:r w:rsidRPr="005F3625">
        <w:rPr>
          <w:rFonts w:ascii="仿宋_GB2312" w:eastAsia="仿宋_GB2312" w:hAnsi="仿宋_GB2312" w:cs="仿宋_GB2312" w:hint="eastAsia"/>
          <w:bCs/>
          <w:color w:val="000000" w:themeColor="text1"/>
          <w:kern w:val="44"/>
          <w:sz w:val="32"/>
          <w:szCs w:val="32"/>
          <w:shd w:val="clear" w:color="auto" w:fill="FFFFFF"/>
        </w:rPr>
        <w:t>根据《中央宣传部、司法部关于开展法治宣传教育的第八个五年规划（2021－2025年）》文件精神和《2024年全区普法依法治理工作要点》工作要求，渝</w:t>
      </w:r>
      <w:r w:rsidRPr="005F3625">
        <w:rPr>
          <w:rFonts w:ascii="仿宋_GB2312" w:eastAsia="仿宋_GB2312" w:hAnsi="仿宋_GB2312" w:cs="仿宋_GB2312" w:hint="eastAsia"/>
          <w:color w:val="000000" w:themeColor="text1"/>
          <w:sz w:val="32"/>
          <w:szCs w:val="32"/>
        </w:rPr>
        <w:t>水区司法局负责实施了2024年度普法宣传经费项目。</w:t>
      </w:r>
    </w:p>
    <w:p w:rsidR="006D0A44" w:rsidRPr="005F3625" w:rsidRDefault="004230BB">
      <w:pPr>
        <w:spacing w:line="560" w:lineRule="exact"/>
        <w:ind w:firstLineChars="49" w:firstLine="157"/>
        <w:outlineLvl w:val="2"/>
        <w:rPr>
          <w:rFonts w:ascii="黑体" w:eastAsia="黑体" w:hAnsi="黑体"/>
          <w:b/>
          <w:color w:val="000000" w:themeColor="text1"/>
          <w:sz w:val="32"/>
          <w:szCs w:val="32"/>
        </w:rPr>
      </w:pPr>
      <w:r w:rsidRPr="005F3625">
        <w:rPr>
          <w:rFonts w:ascii="黑体" w:eastAsia="黑体" w:hAnsi="黑体" w:hint="eastAsia"/>
          <w:b/>
          <w:color w:val="000000" w:themeColor="text1"/>
          <w:sz w:val="32"/>
          <w:szCs w:val="32"/>
        </w:rPr>
        <w:t>2.项目实施情况</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（1）加强领导干部理论学习。</w:t>
      </w:r>
      <w:r w:rsidRPr="005F3625">
        <w:rPr>
          <w:rFonts w:ascii="仿宋_GB2312" w:eastAsia="仿宋_GB2312" w:hAnsi="仿宋_GB2312" w:cs="仿宋_GB2312" w:hint="eastAsia"/>
          <w:color w:val="000000" w:themeColor="text1"/>
          <w:sz w:val="32"/>
          <w:szCs w:val="32"/>
        </w:rPr>
        <w:t>将二十大精神、习近平法治思想和宪法、民法典等法律法规作为各级党委（党组）理论学习中心组学习重点内容并列入党校重点课程。组织开展领导干部任前法律知识考试，切实提高“关键少数”法治思维和法治能力。</w:t>
      </w:r>
    </w:p>
    <w:p w:rsidR="006D0A44" w:rsidRPr="005F3625" w:rsidRDefault="004230BB">
      <w:pPr>
        <w:spacing w:line="560" w:lineRule="exact"/>
        <w:ind w:firstLineChars="200" w:firstLine="643"/>
        <w:rPr>
          <w:rFonts w:ascii="仿宋_GB2312" w:eastAsia="仿宋_GB2312" w:hAnsi="仿宋_GB2312" w:cs="仿宋_GB2312"/>
          <w:b/>
          <w:bCs/>
          <w:color w:val="000000" w:themeColor="text1"/>
          <w:sz w:val="32"/>
          <w:szCs w:val="32"/>
        </w:rPr>
      </w:pPr>
      <w:r w:rsidRPr="005F3625">
        <w:rPr>
          <w:rFonts w:ascii="仿宋_GB2312" w:eastAsia="仿宋_GB2312" w:hAnsi="仿宋_GB2312" w:cs="仿宋_GB2312" w:hint="eastAsia"/>
          <w:b/>
          <w:bCs/>
          <w:color w:val="000000" w:themeColor="text1"/>
          <w:sz w:val="32"/>
          <w:szCs w:val="32"/>
        </w:rPr>
        <w:t>（2）加强重点环节普法力度。</w:t>
      </w:r>
      <w:r w:rsidRPr="005F3625">
        <w:rPr>
          <w:rFonts w:ascii="仿宋_GB2312" w:eastAsia="仿宋_GB2312" w:hAnsi="仿宋_GB2312" w:cs="仿宋_GB2312" w:hint="eastAsia"/>
          <w:color w:val="000000" w:themeColor="text1"/>
          <w:sz w:val="32"/>
          <w:szCs w:val="32"/>
        </w:rPr>
        <w:t>立足平安建设，深入开展“平安建设”集中宣传月活动，积极参加2024年新余市平安建设集中宣传日活动。此次宣传活动共发放平安家书</w:t>
      </w:r>
      <w:r w:rsidRPr="005F3625">
        <w:rPr>
          <w:rFonts w:ascii="仿宋_GB2312" w:eastAsia="仿宋_GB2312" w:hAnsi="仿宋_GB2312" w:cs="仿宋_GB2312" w:hint="eastAsia"/>
          <w:color w:val="000000" w:themeColor="text1"/>
          <w:sz w:val="32"/>
          <w:szCs w:val="32"/>
        </w:rPr>
        <w:lastRenderedPageBreak/>
        <w:t>200余份，《民法典进社区》读本100余本、各类宣传册700余册、法治小围裙100余条，解答法律咨询10余人次。联合新余市司法局开展平安建设集中宣传月活动，此次活动悬挂横幅4条、发放宣传品300余份，解决法律咨询10余人次。</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（3）开展优化法治营商环境专项普法活动。</w:t>
      </w:r>
      <w:r w:rsidRPr="005F3625">
        <w:rPr>
          <w:rFonts w:ascii="仿宋_GB2312" w:eastAsia="仿宋_GB2312" w:hAnsi="仿宋_GB2312" w:cs="仿宋_GB2312" w:hint="eastAsia"/>
          <w:color w:val="000000" w:themeColor="text1"/>
          <w:sz w:val="32"/>
          <w:szCs w:val="32"/>
        </w:rPr>
        <w:t>联合新余市司法</w:t>
      </w:r>
      <w:proofErr w:type="gramStart"/>
      <w:r w:rsidRPr="005F3625">
        <w:rPr>
          <w:rFonts w:ascii="仿宋_GB2312" w:eastAsia="仿宋_GB2312" w:hAnsi="仿宋_GB2312" w:cs="仿宋_GB2312" w:hint="eastAsia"/>
          <w:color w:val="000000" w:themeColor="text1"/>
          <w:sz w:val="32"/>
          <w:szCs w:val="32"/>
        </w:rPr>
        <w:t>局来到</w:t>
      </w:r>
      <w:proofErr w:type="gramEnd"/>
      <w:r w:rsidRPr="005F3625">
        <w:rPr>
          <w:rFonts w:ascii="仿宋_GB2312" w:eastAsia="仿宋_GB2312" w:hAnsi="仿宋_GB2312" w:cs="仿宋_GB2312" w:hint="eastAsia"/>
          <w:color w:val="000000" w:themeColor="text1"/>
          <w:sz w:val="32"/>
          <w:szCs w:val="32"/>
        </w:rPr>
        <w:t>渝水区良山镇，联合举办新余市“民法典宣传月”暨“千所进万企”优化法治营商环境专项普法活动。重点对《中华人民共和国民法典》进行大力度宣传，推动民法典走到企业身边、走进企业心里，助力推动发展新质生产力，为我区高质量发展营造</w:t>
      </w:r>
      <w:bookmarkStart w:id="4" w:name="_GoBack"/>
      <w:bookmarkEnd w:id="4"/>
      <w:r w:rsidRPr="005F3625">
        <w:rPr>
          <w:rFonts w:ascii="仿宋_GB2312" w:eastAsia="仿宋_GB2312" w:hAnsi="仿宋_GB2312" w:cs="仿宋_GB2312" w:hint="eastAsia"/>
          <w:color w:val="000000" w:themeColor="text1"/>
          <w:sz w:val="32"/>
          <w:szCs w:val="32"/>
        </w:rPr>
        <w:t>良好法治氛围。</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（4）强化“法律明白人”培养质效。</w:t>
      </w:r>
      <w:r w:rsidRPr="005F3625">
        <w:rPr>
          <w:rFonts w:ascii="仿宋_GB2312" w:eastAsia="仿宋_GB2312" w:hAnsi="仿宋_GB2312" w:cs="仿宋_GB2312" w:hint="eastAsia"/>
          <w:color w:val="000000" w:themeColor="text1"/>
          <w:sz w:val="32"/>
          <w:szCs w:val="32"/>
        </w:rPr>
        <w:t>根据《渝水区加强“法律明白人”扩面提质增效二十条举措文件要求》，将“法律明白人”培养工程</w:t>
      </w:r>
      <w:proofErr w:type="gramStart"/>
      <w:r w:rsidRPr="005F3625">
        <w:rPr>
          <w:rFonts w:ascii="仿宋_GB2312" w:eastAsia="仿宋_GB2312" w:hAnsi="仿宋_GB2312" w:cs="仿宋_GB2312" w:hint="eastAsia"/>
          <w:color w:val="000000" w:themeColor="text1"/>
          <w:sz w:val="32"/>
          <w:szCs w:val="32"/>
        </w:rPr>
        <w:t>走深走实</w:t>
      </w:r>
      <w:proofErr w:type="gramEnd"/>
      <w:r w:rsidRPr="005F3625">
        <w:rPr>
          <w:rFonts w:ascii="仿宋_GB2312" w:eastAsia="仿宋_GB2312" w:hAnsi="仿宋_GB2312" w:cs="仿宋_GB2312" w:hint="eastAsia"/>
          <w:color w:val="000000" w:themeColor="text1"/>
          <w:sz w:val="32"/>
          <w:szCs w:val="32"/>
        </w:rPr>
        <w:t>，积极探索推动“法律明白人”培养工程向工业园区延伸。推动各地开展“法律明白人”培训班，会同区委组织部、区委党校联合举办村两委干部暨“法律明白人”骨干培训班。</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（5）加强基层依法治理。</w:t>
      </w:r>
      <w:r w:rsidRPr="005F3625">
        <w:rPr>
          <w:rFonts w:ascii="仿宋_GB2312" w:eastAsia="仿宋_GB2312" w:hAnsi="仿宋_GB2312" w:cs="仿宋_GB2312" w:hint="eastAsia"/>
          <w:color w:val="000000" w:themeColor="text1"/>
          <w:sz w:val="32"/>
          <w:szCs w:val="32"/>
        </w:rPr>
        <w:t>做好第十批“全国民主法治示范村（社区）”、第八批“全省民主法治示范村（社区）”、第七批“全市民主法治示范村（社区）”推荐报送工作，加强动态管理，发挥示范引领作用，促进法治乡村建设。</w:t>
      </w:r>
    </w:p>
    <w:p w:rsidR="006D0A44" w:rsidRPr="005F3625" w:rsidRDefault="004230BB">
      <w:pPr>
        <w:spacing w:line="560" w:lineRule="exact"/>
        <w:outlineLvl w:val="2"/>
        <w:rPr>
          <w:rFonts w:ascii="黑体" w:eastAsia="黑体" w:hAnsi="黑体"/>
          <w:b/>
          <w:color w:val="000000" w:themeColor="text1"/>
          <w:sz w:val="32"/>
          <w:szCs w:val="32"/>
        </w:rPr>
      </w:pPr>
      <w:r w:rsidRPr="005F3625">
        <w:rPr>
          <w:rFonts w:ascii="黑体" w:eastAsia="黑体" w:hAnsi="黑体" w:hint="eastAsia"/>
          <w:b/>
          <w:color w:val="000000" w:themeColor="text1"/>
          <w:sz w:val="32"/>
          <w:szCs w:val="32"/>
        </w:rPr>
        <w:t>3、经费来源和使用情况</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（1）资金来源</w:t>
      </w:r>
    </w:p>
    <w:p w:rsidR="006D0A44" w:rsidRPr="005F3625" w:rsidRDefault="004230BB">
      <w:pPr>
        <w:spacing w:line="560" w:lineRule="exact"/>
        <w:ind w:firstLineChars="200" w:firstLine="640"/>
        <w:rPr>
          <w:rFonts w:ascii="仿宋_GB2312" w:eastAsia="仿宋_GB2312" w:hAnsi="仿宋"/>
          <w:b/>
          <w:bCs/>
          <w:color w:val="000000" w:themeColor="text1"/>
          <w:sz w:val="32"/>
          <w:szCs w:val="32"/>
        </w:rPr>
      </w:pPr>
      <w:r w:rsidRPr="005F3625">
        <w:rPr>
          <w:rFonts w:ascii="仿宋_GB2312" w:eastAsia="仿宋_GB2312" w:hAnsi="仿宋" w:hint="eastAsia"/>
          <w:color w:val="000000" w:themeColor="text1"/>
          <w:sz w:val="32"/>
          <w:szCs w:val="32"/>
        </w:rPr>
        <w:t>2024年度普法宣传经费经区财政局批准的预算金额为4</w:t>
      </w:r>
      <w:r w:rsidRPr="005F3625">
        <w:rPr>
          <w:rFonts w:ascii="仿宋_GB2312" w:eastAsia="仿宋_GB2312" w:hAnsi="仿宋" w:hint="eastAsia"/>
          <w:color w:val="000000" w:themeColor="text1"/>
          <w:sz w:val="32"/>
          <w:szCs w:val="32"/>
        </w:rPr>
        <w:lastRenderedPageBreak/>
        <w:t>万元,项目资金来源为财政拨款。</w:t>
      </w:r>
    </w:p>
    <w:p w:rsidR="006D0A44" w:rsidRPr="005F3625" w:rsidRDefault="004230BB">
      <w:pPr>
        <w:numPr>
          <w:ilvl w:val="0"/>
          <w:numId w:val="1"/>
        </w:num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资金使用</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 w:hint="eastAsia"/>
          <w:b/>
          <w:bCs/>
          <w:color w:val="000000" w:themeColor="text1"/>
          <w:sz w:val="32"/>
          <w:szCs w:val="32"/>
        </w:rPr>
        <w:t xml:space="preserve"> </w:t>
      </w:r>
      <w:r w:rsidRPr="005F3625">
        <w:rPr>
          <w:rFonts w:ascii="仿宋_GB2312" w:eastAsia="仿宋_GB2312" w:hAnsi="仿宋" w:hint="eastAsia"/>
          <w:color w:val="000000" w:themeColor="text1"/>
          <w:sz w:val="32"/>
          <w:szCs w:val="32"/>
        </w:rPr>
        <w:t>202</w:t>
      </w:r>
      <w:r w:rsidR="007D577B" w:rsidRPr="005F3625">
        <w:rPr>
          <w:rFonts w:ascii="仿宋_GB2312" w:eastAsia="仿宋_GB2312" w:hAnsi="仿宋" w:hint="eastAsia"/>
          <w:color w:val="000000" w:themeColor="text1"/>
          <w:sz w:val="32"/>
          <w:szCs w:val="32"/>
        </w:rPr>
        <w:t>4</w:t>
      </w:r>
      <w:r w:rsidRPr="005F3625">
        <w:rPr>
          <w:rFonts w:ascii="仿宋_GB2312" w:eastAsia="仿宋_GB2312" w:hAnsi="仿宋" w:hint="eastAsia"/>
          <w:color w:val="000000" w:themeColor="text1"/>
          <w:sz w:val="32"/>
          <w:szCs w:val="32"/>
        </w:rPr>
        <w:t>年度</w:t>
      </w:r>
      <w:r w:rsidR="007D577B" w:rsidRPr="005F3625">
        <w:rPr>
          <w:rFonts w:ascii="仿宋_GB2312" w:eastAsia="仿宋_GB2312" w:hAnsi="仿宋" w:hint="eastAsia"/>
          <w:color w:val="000000" w:themeColor="text1"/>
          <w:sz w:val="32"/>
          <w:szCs w:val="32"/>
        </w:rPr>
        <w:t>普法宣传</w:t>
      </w:r>
      <w:r w:rsidRPr="005F3625">
        <w:rPr>
          <w:rFonts w:ascii="仿宋_GB2312" w:eastAsia="仿宋_GB2312" w:hAnsi="仿宋" w:hint="eastAsia"/>
          <w:color w:val="000000" w:themeColor="text1"/>
          <w:sz w:val="32"/>
          <w:szCs w:val="32"/>
        </w:rPr>
        <w:t>经费项目实际使用资金合计4万元,主要用于制订普法宣传用品等业务开展方面。</w:t>
      </w:r>
    </w:p>
    <w:p w:rsidR="006D0A44" w:rsidRPr="005F3625" w:rsidRDefault="004230BB">
      <w:pPr>
        <w:spacing w:line="560" w:lineRule="exact"/>
        <w:rPr>
          <w:rFonts w:ascii="黑体" w:eastAsia="黑体" w:hAnsi="黑体"/>
          <w:b/>
          <w:color w:val="000000" w:themeColor="text1"/>
          <w:sz w:val="32"/>
          <w:szCs w:val="32"/>
        </w:rPr>
      </w:pPr>
      <w:r w:rsidRPr="005F3625">
        <w:rPr>
          <w:rFonts w:ascii="黑体" w:eastAsia="黑体" w:hAnsi="黑体" w:hint="eastAsia"/>
          <w:b/>
          <w:color w:val="000000" w:themeColor="text1"/>
          <w:sz w:val="32"/>
          <w:szCs w:val="32"/>
        </w:rPr>
        <w:t>（二）项目绩效目标</w:t>
      </w:r>
    </w:p>
    <w:p w:rsidR="006D0A44" w:rsidRPr="005F3625" w:rsidRDefault="004230BB">
      <w:pPr>
        <w:widowControl/>
        <w:spacing w:line="560" w:lineRule="exact"/>
        <w:ind w:firstLineChars="200" w:firstLine="640"/>
        <w:jc w:val="left"/>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2024年度公民法律素养和社会治理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料学、责任落实的工作体系基本形成。</w:t>
      </w:r>
    </w:p>
    <w:p w:rsidR="006D0A44" w:rsidRPr="005F3625" w:rsidRDefault="004230BB">
      <w:pPr>
        <w:spacing w:line="560" w:lineRule="exact"/>
        <w:outlineLvl w:val="1"/>
        <w:rPr>
          <w:rFonts w:ascii="黑体" w:eastAsia="黑体" w:hAnsi="黑体"/>
          <w:b/>
          <w:color w:val="000000" w:themeColor="text1"/>
          <w:sz w:val="32"/>
          <w:szCs w:val="32"/>
        </w:rPr>
      </w:pPr>
      <w:bookmarkStart w:id="5" w:name="_Toc421917363"/>
      <w:r w:rsidRPr="005F3625">
        <w:rPr>
          <w:rFonts w:ascii="黑体" w:eastAsia="黑体" w:hAnsi="黑体" w:hint="eastAsia"/>
          <w:b/>
          <w:color w:val="000000" w:themeColor="text1"/>
          <w:sz w:val="32"/>
          <w:szCs w:val="32"/>
        </w:rPr>
        <w:t>二、绩效评价的工作情况</w:t>
      </w:r>
      <w:bookmarkEnd w:id="5"/>
    </w:p>
    <w:p w:rsidR="006D0A44" w:rsidRPr="005F3625" w:rsidRDefault="004230BB">
      <w:pPr>
        <w:spacing w:line="560" w:lineRule="exact"/>
        <w:outlineLvl w:val="1"/>
        <w:rPr>
          <w:rFonts w:ascii="黑体" w:eastAsia="黑体" w:hAnsi="黑体"/>
          <w:b/>
          <w:color w:val="000000" w:themeColor="text1"/>
          <w:sz w:val="32"/>
          <w:szCs w:val="32"/>
        </w:rPr>
      </w:pPr>
      <w:bookmarkStart w:id="6" w:name="_Toc421917364"/>
      <w:r w:rsidRPr="005F3625">
        <w:rPr>
          <w:rFonts w:ascii="黑体" w:eastAsia="黑体" w:hAnsi="黑体" w:hint="eastAsia"/>
          <w:b/>
          <w:color w:val="000000" w:themeColor="text1"/>
          <w:sz w:val="32"/>
          <w:szCs w:val="32"/>
        </w:rPr>
        <w:t>（一）绩效评价目的</w:t>
      </w:r>
      <w:bookmarkEnd w:id="6"/>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为加强专项资金管理，提高资金使用效益，检查专项资金项目的预期目标是否实现，项目是否可持续运行，分析存在的问题，及时总结经验，改进项目管理措施，提高绩效管理水平，为预算决策提供有力依据。根据《财政部关于印发&lt;项目支出绩效评价管理办法&gt;的通知》（财预〔2020〕10 号）、《中共江西省委 江西省人民政府关于全面实施预算绩效管理的实施意见》（</w:t>
      </w:r>
      <w:proofErr w:type="gramStart"/>
      <w:r w:rsidRPr="005F3625">
        <w:rPr>
          <w:rFonts w:ascii="仿宋_GB2312" w:eastAsia="仿宋_GB2312" w:hAnsi="仿宋" w:hint="eastAsia"/>
          <w:color w:val="000000" w:themeColor="text1"/>
          <w:sz w:val="32"/>
          <w:szCs w:val="32"/>
        </w:rPr>
        <w:t>赣发〔2019〕</w:t>
      </w:r>
      <w:proofErr w:type="gramEnd"/>
      <w:r w:rsidRPr="005F3625">
        <w:rPr>
          <w:rFonts w:ascii="仿宋_GB2312" w:eastAsia="仿宋_GB2312" w:hAnsi="仿宋" w:hint="eastAsia"/>
          <w:color w:val="000000" w:themeColor="text1"/>
          <w:sz w:val="32"/>
          <w:szCs w:val="32"/>
        </w:rPr>
        <w:t>8号）、</w:t>
      </w:r>
      <w:r w:rsidRPr="005F3625">
        <w:rPr>
          <w:rFonts w:ascii="仿宋_GB2312" w:eastAsia="仿宋_GB2312" w:hAnsi="仿宋" w:cs="宋体" w:hint="eastAsia"/>
          <w:color w:val="000000" w:themeColor="text1"/>
          <w:kern w:val="0"/>
          <w:sz w:val="32"/>
          <w:szCs w:val="32"/>
        </w:rPr>
        <w:t>《</w:t>
      </w:r>
      <w:r w:rsidRPr="005F3625">
        <w:rPr>
          <w:rFonts w:ascii="仿宋_GB2312" w:eastAsia="仿宋_GB2312" w:hAnsi="仿宋" w:hint="eastAsia"/>
          <w:color w:val="000000" w:themeColor="text1"/>
          <w:sz w:val="32"/>
          <w:szCs w:val="32"/>
        </w:rPr>
        <w:t>江西省财政厅关于印发&lt;江西省省级预算部门绩效管理暂行办法&gt;的通知》等文件精神的要求，对渝水区司法局2024年度普法宣传经费项目资金使用进行绩效评价。</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lastRenderedPageBreak/>
        <w:t>通过计算、比较、分析项目投入、过程、产出、效果涉及的各项指标，客观公正地反映渝水区司法局2024年度普法宣传项目资金实际使用和产出的绩效状况，为今后该项目实施方向及管理方式的改进提供指导，逐步树立以结果为导向、讲求绩效的观念。通过评价、总结项目实施的做法、经验和教训，提出改进措施和建设性意见。</w:t>
      </w:r>
    </w:p>
    <w:p w:rsidR="006D0A44" w:rsidRPr="005F3625" w:rsidRDefault="004230BB">
      <w:pPr>
        <w:spacing w:line="560" w:lineRule="exact"/>
        <w:jc w:val="left"/>
        <w:outlineLvl w:val="1"/>
        <w:rPr>
          <w:rFonts w:ascii="黑体" w:eastAsia="黑体" w:hAnsi="黑体"/>
          <w:b/>
          <w:color w:val="000000" w:themeColor="text1"/>
          <w:sz w:val="32"/>
          <w:szCs w:val="32"/>
        </w:rPr>
      </w:pPr>
      <w:bookmarkStart w:id="7" w:name="_Toc421917365"/>
      <w:r w:rsidRPr="005F3625">
        <w:rPr>
          <w:rFonts w:ascii="黑体" w:eastAsia="黑体" w:hAnsi="黑体" w:hint="eastAsia"/>
          <w:b/>
          <w:color w:val="000000" w:themeColor="text1"/>
          <w:sz w:val="32"/>
          <w:szCs w:val="32"/>
        </w:rPr>
        <w:t>（二）绩效评价设计与实施过程</w:t>
      </w:r>
      <w:bookmarkEnd w:id="7"/>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首先，进行前期准备工作，制定绩效评价前期工作计划。然后，组织以财务负责人为组长，各股室负责人为成员的项目小组开展绩效评价工作。整个评价工作分以下几个阶段进行：</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1、前期准备工作</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根据绩效评价规范的要求和本次评价的实际情况，拟订了绩效评价工作方案，组成项目评价工作组。项目组结合财政部《项目支出绩效评价管理办法》、江西省财政厅《江西省省级预算部门绩效管理暂行办法》等文件，结合项目的实际情况，制定了绩效评价方案。</w:t>
      </w:r>
    </w:p>
    <w:p w:rsidR="006D0A44" w:rsidRPr="005F3625" w:rsidRDefault="004230BB">
      <w:pPr>
        <w:spacing w:line="560" w:lineRule="exact"/>
        <w:ind w:firstLineChars="200" w:firstLine="640"/>
        <w:rPr>
          <w:rFonts w:ascii="仿宋" w:eastAsia="仿宋" w:hAnsi="仿宋"/>
          <w:color w:val="000000" w:themeColor="text1"/>
          <w:sz w:val="28"/>
          <w:szCs w:val="28"/>
        </w:rPr>
      </w:pPr>
      <w:r w:rsidRPr="005F3625">
        <w:rPr>
          <w:rFonts w:ascii="仿宋_GB2312" w:eastAsia="仿宋_GB2312" w:hAnsi="仿宋" w:hint="eastAsia"/>
          <w:color w:val="000000" w:themeColor="text1"/>
          <w:sz w:val="32"/>
          <w:szCs w:val="32"/>
        </w:rPr>
        <w:t>此次评价工作，在收集并熟悉了项目实施、管理及其他文件资料后，全面了解此次绩效评价的内容、方法和要求。之后,评价小组收集了项目立项文件、项目预算资金材料、项目工作总结，完成了项目基础信息表。项目小组成员根据了解的项目资料设计绩效评价指标，对绩效评价的工作任务进行分解，设计资料清单和相关表格，最终形成完整的绩效评价工作方案，指导项目小组规范有序进行绩效评价活动。</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lastRenderedPageBreak/>
        <w:t>2、组织实施过程内容</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按照绩效评价规范要求，通过案卷研究等方式，对被评价项目的相关资料信息进行收集、整理、分析，以评价该项目在项目决策、项目管理上是否依法依规，在项目绩效方面是否高效可持续。</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一是收集了项目立项、投入、管理、产出及效果相关资料。</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二是通过座谈，介绍取得的成果和存在的问题，针对存在的问题进行探讨，并给出相关建议。</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三是查阅账本、凭证，包括总账、明细账及辅助账等进行核查，对项目的资金来源及去向进行分类整理。</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四是查阅项目实施档案</w:t>
      </w:r>
      <w:r w:rsidRPr="005F3625">
        <w:rPr>
          <w:rFonts w:ascii="仿宋_GB2312" w:eastAsia="仿宋_GB2312" w:hAnsi="仿宋" w:hint="eastAsia"/>
          <w:color w:val="000000" w:themeColor="text1"/>
          <w:sz w:val="32"/>
          <w:szCs w:val="32"/>
        </w:rPr>
        <w:t>，了解项目的执行情况。</w:t>
      </w:r>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五是社会调查，对项目设计调查问卷，对服务对象进行问卷调查，了解项目实施的效果。</w:t>
      </w:r>
    </w:p>
    <w:p w:rsidR="006D0A44" w:rsidRPr="005F3625" w:rsidRDefault="004230BB">
      <w:pPr>
        <w:spacing w:line="560" w:lineRule="exact"/>
        <w:ind w:firstLineChars="200" w:firstLine="640"/>
        <w:rPr>
          <w:rFonts w:ascii="仿宋" w:eastAsia="仿宋" w:hAnsi="仿宋"/>
          <w:color w:val="000000" w:themeColor="text1"/>
          <w:sz w:val="32"/>
          <w:szCs w:val="32"/>
        </w:rPr>
      </w:pPr>
      <w:bookmarkStart w:id="8" w:name="_Toc403599257"/>
      <w:r w:rsidRPr="005F3625">
        <w:rPr>
          <w:rFonts w:ascii="仿宋" w:eastAsia="仿宋" w:hAnsi="仿宋" w:hint="eastAsia"/>
          <w:color w:val="000000" w:themeColor="text1"/>
          <w:sz w:val="32"/>
          <w:szCs w:val="32"/>
        </w:rPr>
        <w:t>3、绩效评价分析阶段</w:t>
      </w:r>
      <w:bookmarkEnd w:id="8"/>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经过对收集到的资料及数据、调查问卷统计结果进行具体分析，将分析结果与预算标准、指标体系、项目管理制度、财务资金管理制度等资料进行比对，计算各种评价指标得分，初步确定项目绩效的评价结果。</w:t>
      </w:r>
    </w:p>
    <w:p w:rsidR="006D0A44" w:rsidRPr="005F3625" w:rsidRDefault="004230BB">
      <w:pPr>
        <w:spacing w:line="560" w:lineRule="exact"/>
        <w:ind w:firstLineChars="200" w:firstLine="640"/>
        <w:rPr>
          <w:rFonts w:ascii="仿宋" w:eastAsia="仿宋" w:hAnsi="仿宋"/>
          <w:color w:val="000000" w:themeColor="text1"/>
          <w:sz w:val="32"/>
          <w:szCs w:val="32"/>
        </w:rPr>
      </w:pPr>
      <w:bookmarkStart w:id="9" w:name="_Toc403599258"/>
      <w:r w:rsidRPr="005F3625">
        <w:rPr>
          <w:rFonts w:ascii="仿宋" w:eastAsia="仿宋" w:hAnsi="仿宋" w:hint="eastAsia"/>
          <w:color w:val="000000" w:themeColor="text1"/>
          <w:sz w:val="32"/>
          <w:szCs w:val="32"/>
        </w:rPr>
        <w:t>4、绩效评价汇总阶段</w:t>
      </w:r>
      <w:bookmarkEnd w:id="9"/>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t>对初步确定项目绩效的评价结果进行逐级复核、汇总、分析，核查评价工作中是否存在重复和遗漏的情况。在此基础上，撰写项目绩效评价报告初稿，由项目组负责人复核。</w:t>
      </w:r>
    </w:p>
    <w:p w:rsidR="006D0A44" w:rsidRPr="005F3625" w:rsidRDefault="004230BB">
      <w:pPr>
        <w:spacing w:line="560" w:lineRule="exact"/>
        <w:ind w:firstLineChars="200" w:firstLine="640"/>
        <w:rPr>
          <w:rFonts w:ascii="仿宋" w:eastAsia="仿宋" w:hAnsi="仿宋"/>
          <w:color w:val="000000" w:themeColor="text1"/>
          <w:sz w:val="32"/>
          <w:szCs w:val="32"/>
        </w:rPr>
      </w:pPr>
      <w:bookmarkStart w:id="10" w:name="_Toc403599259"/>
      <w:r w:rsidRPr="005F3625">
        <w:rPr>
          <w:rFonts w:ascii="仿宋" w:eastAsia="仿宋" w:hAnsi="仿宋" w:hint="eastAsia"/>
          <w:color w:val="000000" w:themeColor="text1"/>
          <w:sz w:val="32"/>
          <w:szCs w:val="32"/>
        </w:rPr>
        <w:t>5、提交报告阶段</w:t>
      </w:r>
      <w:bookmarkEnd w:id="10"/>
    </w:p>
    <w:p w:rsidR="006D0A44" w:rsidRPr="005F3625" w:rsidRDefault="004230BB">
      <w:pPr>
        <w:spacing w:line="560" w:lineRule="exact"/>
        <w:ind w:firstLineChars="200" w:firstLine="640"/>
        <w:rPr>
          <w:rFonts w:ascii="仿宋" w:eastAsia="仿宋" w:hAnsi="仿宋"/>
          <w:color w:val="000000" w:themeColor="text1"/>
          <w:sz w:val="32"/>
          <w:szCs w:val="32"/>
        </w:rPr>
      </w:pPr>
      <w:r w:rsidRPr="005F3625">
        <w:rPr>
          <w:rFonts w:ascii="仿宋" w:eastAsia="仿宋" w:hAnsi="仿宋" w:hint="eastAsia"/>
          <w:color w:val="000000" w:themeColor="text1"/>
          <w:sz w:val="32"/>
          <w:szCs w:val="32"/>
        </w:rPr>
        <w:lastRenderedPageBreak/>
        <w:t>首先完成项目绩效评价报告初稿，在组内进行讨论，充分交换意见并作必要的修改后，向财政提交正式的绩效评价报告。</w:t>
      </w:r>
    </w:p>
    <w:p w:rsidR="006D0A44" w:rsidRPr="005F3625" w:rsidRDefault="004230BB">
      <w:pPr>
        <w:spacing w:line="560" w:lineRule="exact"/>
        <w:outlineLvl w:val="1"/>
        <w:rPr>
          <w:rFonts w:ascii="黑体" w:eastAsia="黑体" w:hAnsi="黑体"/>
          <w:b/>
          <w:color w:val="000000" w:themeColor="text1"/>
          <w:sz w:val="32"/>
          <w:szCs w:val="32"/>
        </w:rPr>
      </w:pPr>
      <w:bookmarkStart w:id="11" w:name="_Toc421917366"/>
      <w:r w:rsidRPr="005F3625">
        <w:rPr>
          <w:rFonts w:ascii="黑体" w:eastAsia="黑体" w:hAnsi="黑体" w:hint="eastAsia"/>
          <w:b/>
          <w:color w:val="000000" w:themeColor="text1"/>
          <w:sz w:val="32"/>
          <w:szCs w:val="32"/>
        </w:rPr>
        <w:t>（三）绩效评价框架</w:t>
      </w:r>
      <w:bookmarkEnd w:id="11"/>
    </w:p>
    <w:p w:rsidR="006D0A44" w:rsidRPr="005F3625" w:rsidRDefault="004230BB">
      <w:pPr>
        <w:spacing w:line="560" w:lineRule="exact"/>
        <w:ind w:firstLineChars="146" w:firstLine="467"/>
        <w:rPr>
          <w:rFonts w:ascii="黑体" w:eastAsia="黑体" w:hAnsi="黑体"/>
          <w:b/>
          <w:color w:val="000000" w:themeColor="text1"/>
          <w:sz w:val="32"/>
          <w:szCs w:val="32"/>
        </w:rPr>
      </w:pPr>
      <w:r w:rsidRPr="005F3625">
        <w:rPr>
          <w:rFonts w:ascii="仿宋_GB2312" w:eastAsia="仿宋_GB2312" w:hAnsi="仿宋" w:hint="eastAsia"/>
          <w:color w:val="000000" w:themeColor="text1"/>
          <w:sz w:val="32"/>
          <w:szCs w:val="32"/>
        </w:rPr>
        <w:t>1、绩效评价原则</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渝水区司法局2024年度普法宣传经费项目绩效评价遵循科学规范、公开公正、绩效相关的原则，参照财政支出绩效评价相关文件精神开展绩效评价工作，绩效评价工作遵循以下原则：</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（1）科学规范原则。项目资金绩效评价注重资金支出的经济性、效率性和有效性，严格执行规定的程序，采用定量与定性分析相结合的方法。</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（2）客观公正原则。项目资金绩效评价遵循客观、公正原则，采用问卷调查和专家评议相结合的方法，对项目绩效进行客观、公正的反映。</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（3）绩效相关原则。项目资金绩效评价工作针对具体支出及其产出绩效，评价结果能够清晰反映支出和产出绩效之间的紧密对应关系。</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2、评价依据</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（1）财政部关于印发《项目支出绩效评价管理办法》的通知（财预〔2020〕10 号）</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（2）江西省财政厅印发的《江西省省级预算部门绩效管理暂行办法》</w:t>
      </w:r>
    </w:p>
    <w:p w:rsidR="007D577B" w:rsidRPr="005F3625" w:rsidRDefault="007D577B">
      <w:pPr>
        <w:spacing w:line="560" w:lineRule="exact"/>
        <w:ind w:firstLineChars="192" w:firstLine="614"/>
        <w:rPr>
          <w:rFonts w:ascii="仿宋_GB2312" w:eastAsia="仿宋_GB2312" w:hAnsi="仿宋_GB2312" w:cs="仿宋_GB2312"/>
          <w:bCs/>
          <w:color w:val="000000" w:themeColor="text1"/>
          <w:kern w:val="44"/>
          <w:sz w:val="32"/>
          <w:szCs w:val="32"/>
          <w:shd w:val="clear" w:color="auto" w:fill="FFFFFF"/>
        </w:rPr>
      </w:pPr>
      <w:r w:rsidRPr="005F3625">
        <w:rPr>
          <w:rFonts w:ascii="仿宋_GB2312" w:eastAsia="仿宋_GB2312" w:hAnsi="仿宋" w:hint="eastAsia"/>
          <w:color w:val="000000" w:themeColor="text1"/>
          <w:sz w:val="32"/>
          <w:szCs w:val="32"/>
        </w:rPr>
        <w:t>（3）</w:t>
      </w:r>
      <w:r w:rsidRPr="005F3625">
        <w:rPr>
          <w:rFonts w:ascii="仿宋_GB2312" w:eastAsia="仿宋_GB2312" w:hAnsi="仿宋_GB2312" w:cs="仿宋_GB2312" w:hint="eastAsia"/>
          <w:bCs/>
          <w:color w:val="000000" w:themeColor="text1"/>
          <w:kern w:val="44"/>
          <w:sz w:val="32"/>
          <w:szCs w:val="32"/>
          <w:shd w:val="clear" w:color="auto" w:fill="FFFFFF"/>
        </w:rPr>
        <w:t>《中央宣传部、司法部关于开展法治宣传教育的第</w:t>
      </w:r>
      <w:r w:rsidRPr="005F3625">
        <w:rPr>
          <w:rFonts w:ascii="仿宋_GB2312" w:eastAsia="仿宋_GB2312" w:hAnsi="仿宋_GB2312" w:cs="仿宋_GB2312" w:hint="eastAsia"/>
          <w:bCs/>
          <w:color w:val="000000" w:themeColor="text1"/>
          <w:kern w:val="44"/>
          <w:sz w:val="32"/>
          <w:szCs w:val="32"/>
          <w:shd w:val="clear" w:color="auto" w:fill="FFFFFF"/>
        </w:rPr>
        <w:lastRenderedPageBreak/>
        <w:t>八个五年规划（2021－2025年）》</w:t>
      </w:r>
    </w:p>
    <w:p w:rsidR="007D577B" w:rsidRPr="005F3625" w:rsidRDefault="007D577B">
      <w:pPr>
        <w:spacing w:line="560" w:lineRule="exact"/>
        <w:ind w:firstLineChars="192" w:firstLine="614"/>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（4）</w:t>
      </w:r>
      <w:r w:rsidRPr="005F3625">
        <w:rPr>
          <w:rFonts w:ascii="仿宋_GB2312" w:eastAsia="仿宋_GB2312" w:hAnsi="仿宋_GB2312" w:cs="仿宋_GB2312" w:hint="eastAsia"/>
          <w:bCs/>
          <w:color w:val="000000" w:themeColor="text1"/>
          <w:kern w:val="44"/>
          <w:sz w:val="32"/>
          <w:szCs w:val="32"/>
          <w:shd w:val="clear" w:color="auto" w:fill="FFFFFF"/>
        </w:rPr>
        <w:t>《2024年全区普法依法治理工作要点》</w:t>
      </w:r>
    </w:p>
    <w:p w:rsidR="006D0A44" w:rsidRPr="005F3625" w:rsidRDefault="007D577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（5）</w:t>
      </w:r>
      <w:r w:rsidR="004230BB" w:rsidRPr="005F3625">
        <w:rPr>
          <w:rFonts w:ascii="仿宋_GB2312" w:eastAsia="仿宋_GB2312" w:hAnsi="仿宋" w:hint="eastAsia"/>
          <w:color w:val="000000" w:themeColor="text1"/>
          <w:sz w:val="32"/>
          <w:szCs w:val="32"/>
        </w:rPr>
        <w:t>项目资料。项目申报书、工作总结、经费收支的报表、明细账、原始凭证等财务资料。</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3、评价评分表</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项目绩效评价评分表是对项目绩效评价的核心，我们从项目决策、过程、产出、效果四个方面设计评价指标，对项目进行评价。评价评分表建立过程如下：</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（1）确定评价指标</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第一步，分层次设置评价指标，绩效评价将指标分为决策、过程、产出和效果四个层次，评价项目的整个实施过程。</w:t>
      </w:r>
    </w:p>
    <w:p w:rsidR="006D0A44" w:rsidRPr="005F3625" w:rsidRDefault="007D1238">
      <w:pPr>
        <w:spacing w:line="560" w:lineRule="exact"/>
        <w:ind w:firstLineChars="300" w:firstLine="630"/>
        <w:rPr>
          <w:rFonts w:ascii="仿宋_GB2312" w:eastAsia="仿宋_GB2312" w:hAnsi="仿宋"/>
          <w:color w:val="000000" w:themeColor="text1"/>
          <w:sz w:val="32"/>
          <w:szCs w:val="32"/>
        </w:rPr>
      </w:pPr>
      <w:r w:rsidRPr="007D1238">
        <w:rPr>
          <w:color w:val="000000" w:themeColor="text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8" o:spid="_x0000_s1026" type="#_x0000_t87" style="position:absolute;left:0;text-align:left;margin-left:-267.75pt;margin-top:12pt;width:6pt;height:312pt;z-index:251659264" o:gfxdata="UEsDBAoAAAAAAIdO4kAAAAAAAAAAAAAAAAAEAAAAZHJzL1BLAwQUAAAACACHTuJAVX279NsAAAAM&#10;AQAADwAAAGRycy9kb3ducmV2LnhtbE2PsW7CMBCG90q8g3VIXVCwCRihNA5DpUplKSqwdDPxkUTE&#10;dmQ7QN++16kd7+7Tf99fbh+2ZzcMsfNOwWIugKGrvelco+B0fMs2wGLSzujeO1TwjRG21eSp1IXx&#10;d/eJt0NqGIW4WGgFbUpDwXmsW7Q6zv2Ajm4XH6xONIaGm6DvFG57ngux5lZ3jj60esDXFuvrYbQK&#10;9l3oRT3ix3H82s9m75edkdedUs/ThXgBlvCR/mD41Sd1qMjp7EdnIusVZHIpJbEK8hWVIiKT+ZI2&#10;ZwXr1UYAr0r+v0T1A1BLAwQUAAAACACHTuJAuW8qTiwCAABxBAAADgAAAGRycy9lMm9Eb2MueG1s&#10;rVTLbtswELwX6D8QvNeyHdmJBctBGyNFgTYNkPYDaIq0WPDVJWXZ/fouKcV100sO1UHgclezO8Oh&#10;1rdHo8lBQFDO1nQ2mVIiLHeNsvuafv92/+6GkhCZbZh2VtT0JAK93bx9s+59JeaudboRQBDEhqr3&#10;NW1j9FVRBN4Kw8LEeWExKR0YFjGEfdEA6xHd6GI+nS6L3kHjwXERAu5uhyQdEeE1gE5KxcXW8c4I&#10;GwdUEJpFpBRa5QPd5GmlFDx+lTKISHRNkWnMb2yC6116F5s1q/bAfKv4OAJ7zQgvOBmmLDY9Q21Z&#10;ZKQD9Q+UURxccDJOuDPFQCQrgixm0xfaPLXMi8wFpQ7+LHr4f7D84fAIRDU1XVBimcEDf99FlzuT&#10;8ibp0/tQYdmTf4QxCrgku/6La7CcYXmmfpRgkgRIihyzwqezwuIYCcfN6yVagBKOmavVcl5igJgF&#10;q54/9hDiR+EMSYuaaiHjB2A8qcAqdvgcYla5GWdlzY8ZJdJoPLQD06S8Ss94qhdF88uixQynGPuO&#10;kDjBc+eEb9290jp7Q1vS13S1mC/yCMFp1aRkKguw391pINgZmeZnhP2rDFxnm4Gmtuk7kY2JXNJm&#10;kjcJOgi9c80JxQU3OBXvKS5aB78o6dGlNQ0/OwaCEv3Jog1Ws7JMts5BubhGXgQuM7vLDLMcoWoa&#10;KRmWd3G4Cp0HtW+x0yyTtC55QKrzfMNU47DoxHxk461JVr+Mc9WfP8X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9u/TbAAAADAEAAA8AAAAAAAAAAQAgAAAAIgAAAGRycy9kb3ducmV2LnhtbFBL&#10;AQIUABQAAAAIAIdO4kC5bypOLAIAAHEEAAAOAAAAAAAAAAEAIAAAACoBAABkcnMvZTJvRG9jLnht&#10;bFBLBQYAAAAABgAGAFkBAADIBQAAAAA=&#10;" adj="1799,11150"/>
        </w:pict>
      </w:r>
      <w:r w:rsidR="004230BB" w:rsidRPr="005F3625">
        <w:rPr>
          <w:rFonts w:ascii="仿宋_GB2312" w:eastAsia="仿宋_GB2312" w:hAnsi="仿宋" w:hint="eastAsia"/>
          <w:color w:val="000000" w:themeColor="text1"/>
          <w:sz w:val="32"/>
          <w:szCs w:val="32"/>
        </w:rPr>
        <w:t>第二步，初步设置评价后，对评价指标进行分析、权衡、补充、选择，最后确定评价指标。</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（2）确定权重</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在绩效评价评分表中，项目绩效预算执行率指标10%，指标成本指标20%，产出指标40%，效益指标20%，满意度指标10%。</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bookmarkStart w:id="12" w:name="_1460038655"/>
      <w:bookmarkStart w:id="13" w:name="_1460038659"/>
      <w:bookmarkStart w:id="14" w:name="_1460038687"/>
      <w:bookmarkStart w:id="15" w:name="_1460038730"/>
      <w:bookmarkStart w:id="16" w:name="_1460038714"/>
      <w:bookmarkStart w:id="17" w:name="_1460181815"/>
      <w:bookmarkEnd w:id="12"/>
      <w:bookmarkEnd w:id="13"/>
      <w:bookmarkEnd w:id="14"/>
      <w:bookmarkEnd w:id="15"/>
      <w:bookmarkEnd w:id="16"/>
      <w:bookmarkEnd w:id="17"/>
      <w:r w:rsidRPr="005F3625">
        <w:rPr>
          <w:rFonts w:ascii="仿宋_GB2312" w:eastAsia="仿宋_GB2312" w:hAnsi="仿宋" w:hint="eastAsia"/>
          <w:color w:val="000000" w:themeColor="text1"/>
          <w:sz w:val="32"/>
          <w:szCs w:val="32"/>
        </w:rPr>
        <w:t>（3）评分表评价结果</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绩效评价结果采取评分和评级相结合的方式，绩效评价总分值100分，等级按得分值划分为四档：90（含）分以上为“优”、80（含）-90分为“良”、60（含）-80分为“中”、60分以下为“差”。</w:t>
      </w:r>
    </w:p>
    <w:tbl>
      <w:tblPr>
        <w:tblW w:w="0" w:type="auto"/>
        <w:jc w:val="center"/>
        <w:tblLayout w:type="fixed"/>
        <w:tblLook w:val="04A0"/>
      </w:tblPr>
      <w:tblGrid>
        <w:gridCol w:w="4516"/>
        <w:gridCol w:w="3563"/>
      </w:tblGrid>
      <w:tr w:rsidR="006D0A44" w:rsidRPr="005F3625">
        <w:trPr>
          <w:trHeight w:val="450"/>
          <w:tblHeader/>
          <w:jc w:val="center"/>
        </w:trPr>
        <w:tc>
          <w:tcPr>
            <w:tcW w:w="4516" w:type="dxa"/>
            <w:tcBorders>
              <w:top w:val="single" w:sz="4" w:space="0" w:color="auto"/>
              <w:left w:val="single" w:sz="4" w:space="0" w:color="auto"/>
              <w:bottom w:val="single" w:sz="4" w:space="0" w:color="auto"/>
              <w:right w:val="single" w:sz="4" w:space="0" w:color="auto"/>
            </w:tcBorders>
            <w:vAlign w:val="center"/>
          </w:tcPr>
          <w:p w:rsidR="006D0A44" w:rsidRPr="005F3625" w:rsidRDefault="004230BB">
            <w:pPr>
              <w:widowControl/>
              <w:spacing w:line="560" w:lineRule="exact"/>
              <w:jc w:val="center"/>
              <w:rPr>
                <w:rFonts w:ascii="仿宋" w:eastAsia="仿宋" w:hAnsi="仿宋" w:cs="宋体"/>
                <w:b/>
                <w:bCs/>
                <w:color w:val="000000" w:themeColor="text1"/>
                <w:kern w:val="0"/>
                <w:sz w:val="24"/>
              </w:rPr>
            </w:pPr>
            <w:r w:rsidRPr="005F3625">
              <w:rPr>
                <w:rFonts w:ascii="仿宋" w:eastAsia="仿宋" w:hAnsi="仿宋" w:cs="宋体" w:hint="eastAsia"/>
                <w:b/>
                <w:bCs/>
                <w:color w:val="000000" w:themeColor="text1"/>
                <w:kern w:val="0"/>
                <w:sz w:val="24"/>
              </w:rPr>
              <w:t>评价计分结果</w:t>
            </w:r>
          </w:p>
        </w:tc>
        <w:tc>
          <w:tcPr>
            <w:tcW w:w="3563" w:type="dxa"/>
            <w:tcBorders>
              <w:top w:val="single" w:sz="4" w:space="0" w:color="auto"/>
              <w:left w:val="single" w:sz="4" w:space="0" w:color="auto"/>
              <w:bottom w:val="single" w:sz="4" w:space="0" w:color="auto"/>
              <w:right w:val="single" w:sz="4" w:space="0" w:color="auto"/>
            </w:tcBorders>
            <w:vAlign w:val="center"/>
          </w:tcPr>
          <w:p w:rsidR="006D0A44" w:rsidRPr="005F3625" w:rsidRDefault="004230BB">
            <w:pPr>
              <w:widowControl/>
              <w:spacing w:line="560" w:lineRule="exact"/>
              <w:jc w:val="center"/>
              <w:rPr>
                <w:rFonts w:ascii="仿宋" w:eastAsia="仿宋" w:hAnsi="仿宋" w:cs="宋体"/>
                <w:b/>
                <w:bCs/>
                <w:color w:val="000000" w:themeColor="text1"/>
                <w:kern w:val="0"/>
                <w:sz w:val="24"/>
              </w:rPr>
            </w:pPr>
            <w:r w:rsidRPr="005F3625">
              <w:rPr>
                <w:rFonts w:ascii="仿宋" w:eastAsia="仿宋" w:hAnsi="仿宋" w:cs="宋体" w:hint="eastAsia"/>
                <w:b/>
                <w:bCs/>
                <w:color w:val="000000" w:themeColor="text1"/>
                <w:kern w:val="0"/>
                <w:sz w:val="24"/>
              </w:rPr>
              <w:t>评价结果级别</w:t>
            </w:r>
          </w:p>
        </w:tc>
      </w:tr>
      <w:tr w:rsidR="006D0A44" w:rsidRPr="005F3625">
        <w:trPr>
          <w:trHeight w:val="450"/>
          <w:jc w:val="center"/>
        </w:trPr>
        <w:tc>
          <w:tcPr>
            <w:tcW w:w="4516" w:type="dxa"/>
            <w:tcBorders>
              <w:top w:val="nil"/>
              <w:left w:val="single" w:sz="8" w:space="0" w:color="auto"/>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olor w:val="000000" w:themeColor="text1"/>
                <w:kern w:val="0"/>
                <w:sz w:val="24"/>
              </w:rPr>
            </w:pPr>
            <w:r w:rsidRPr="005F3625">
              <w:rPr>
                <w:rFonts w:ascii="仿宋" w:eastAsia="仿宋" w:hAnsi="仿宋" w:hint="eastAsia"/>
                <w:color w:val="000000" w:themeColor="text1"/>
                <w:kern w:val="0"/>
                <w:sz w:val="24"/>
              </w:rPr>
              <w:t>90分～100分</w:t>
            </w:r>
          </w:p>
        </w:tc>
        <w:tc>
          <w:tcPr>
            <w:tcW w:w="3563" w:type="dxa"/>
            <w:tcBorders>
              <w:top w:val="nil"/>
              <w:left w:val="nil"/>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s="宋体"/>
                <w:color w:val="000000" w:themeColor="text1"/>
                <w:kern w:val="0"/>
                <w:sz w:val="24"/>
              </w:rPr>
            </w:pPr>
            <w:r w:rsidRPr="005F3625">
              <w:rPr>
                <w:rFonts w:ascii="仿宋" w:eastAsia="仿宋" w:hAnsi="仿宋" w:cs="宋体" w:hint="eastAsia"/>
                <w:color w:val="000000" w:themeColor="text1"/>
                <w:kern w:val="0"/>
                <w:sz w:val="24"/>
              </w:rPr>
              <w:t>优</w:t>
            </w:r>
          </w:p>
        </w:tc>
      </w:tr>
      <w:tr w:rsidR="006D0A44" w:rsidRPr="005F3625">
        <w:trPr>
          <w:trHeight w:val="479"/>
          <w:jc w:val="center"/>
        </w:trPr>
        <w:tc>
          <w:tcPr>
            <w:tcW w:w="4516" w:type="dxa"/>
            <w:tcBorders>
              <w:top w:val="nil"/>
              <w:left w:val="single" w:sz="8" w:space="0" w:color="auto"/>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olor w:val="000000" w:themeColor="text1"/>
                <w:kern w:val="0"/>
                <w:sz w:val="24"/>
              </w:rPr>
            </w:pPr>
            <w:r w:rsidRPr="005F3625">
              <w:rPr>
                <w:rFonts w:ascii="仿宋" w:eastAsia="仿宋" w:hAnsi="仿宋" w:hint="eastAsia"/>
                <w:color w:val="000000" w:themeColor="text1"/>
                <w:kern w:val="0"/>
                <w:sz w:val="24"/>
              </w:rPr>
              <w:lastRenderedPageBreak/>
              <w:t>80分～90分</w:t>
            </w:r>
          </w:p>
        </w:tc>
        <w:tc>
          <w:tcPr>
            <w:tcW w:w="3563" w:type="dxa"/>
            <w:tcBorders>
              <w:top w:val="nil"/>
              <w:left w:val="nil"/>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s="宋体"/>
                <w:color w:val="000000" w:themeColor="text1"/>
                <w:kern w:val="0"/>
                <w:sz w:val="24"/>
              </w:rPr>
            </w:pPr>
            <w:r w:rsidRPr="005F3625">
              <w:rPr>
                <w:rFonts w:ascii="仿宋" w:eastAsia="仿宋" w:hAnsi="仿宋" w:cs="宋体" w:hint="eastAsia"/>
                <w:color w:val="000000" w:themeColor="text1"/>
                <w:kern w:val="0"/>
                <w:sz w:val="24"/>
              </w:rPr>
              <w:t>良</w:t>
            </w:r>
          </w:p>
        </w:tc>
      </w:tr>
      <w:tr w:rsidR="006D0A44" w:rsidRPr="005F3625">
        <w:trPr>
          <w:trHeight w:val="479"/>
          <w:jc w:val="center"/>
        </w:trPr>
        <w:tc>
          <w:tcPr>
            <w:tcW w:w="4516" w:type="dxa"/>
            <w:tcBorders>
              <w:top w:val="nil"/>
              <w:left w:val="single" w:sz="8" w:space="0" w:color="auto"/>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olor w:val="000000" w:themeColor="text1"/>
                <w:kern w:val="0"/>
                <w:sz w:val="24"/>
              </w:rPr>
            </w:pPr>
            <w:r w:rsidRPr="005F3625">
              <w:rPr>
                <w:rFonts w:ascii="仿宋" w:eastAsia="仿宋" w:hAnsi="仿宋" w:hint="eastAsia"/>
                <w:color w:val="000000" w:themeColor="text1"/>
                <w:kern w:val="0"/>
                <w:sz w:val="24"/>
              </w:rPr>
              <w:t>60分～80分</w:t>
            </w:r>
          </w:p>
        </w:tc>
        <w:tc>
          <w:tcPr>
            <w:tcW w:w="3563" w:type="dxa"/>
            <w:tcBorders>
              <w:top w:val="nil"/>
              <w:left w:val="nil"/>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s="宋体"/>
                <w:color w:val="000000" w:themeColor="text1"/>
                <w:kern w:val="0"/>
                <w:sz w:val="24"/>
              </w:rPr>
            </w:pPr>
            <w:r w:rsidRPr="005F3625">
              <w:rPr>
                <w:rFonts w:ascii="仿宋" w:eastAsia="仿宋" w:hAnsi="仿宋" w:cs="宋体" w:hint="eastAsia"/>
                <w:color w:val="000000" w:themeColor="text1"/>
                <w:kern w:val="0"/>
                <w:sz w:val="24"/>
              </w:rPr>
              <w:t>中</w:t>
            </w:r>
          </w:p>
        </w:tc>
      </w:tr>
      <w:tr w:rsidR="006D0A44" w:rsidRPr="005F3625">
        <w:trPr>
          <w:trHeight w:val="538"/>
          <w:jc w:val="center"/>
        </w:trPr>
        <w:tc>
          <w:tcPr>
            <w:tcW w:w="4516" w:type="dxa"/>
            <w:tcBorders>
              <w:top w:val="nil"/>
              <w:left w:val="single" w:sz="8" w:space="0" w:color="auto"/>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olor w:val="000000" w:themeColor="text1"/>
                <w:kern w:val="0"/>
                <w:sz w:val="24"/>
              </w:rPr>
            </w:pPr>
            <w:r w:rsidRPr="005F3625">
              <w:rPr>
                <w:rFonts w:ascii="仿宋" w:eastAsia="仿宋" w:hAnsi="仿宋" w:hint="eastAsia"/>
                <w:color w:val="000000" w:themeColor="text1"/>
                <w:kern w:val="0"/>
                <w:sz w:val="24"/>
              </w:rPr>
              <w:t>60分以下</w:t>
            </w:r>
          </w:p>
        </w:tc>
        <w:tc>
          <w:tcPr>
            <w:tcW w:w="3563" w:type="dxa"/>
            <w:tcBorders>
              <w:top w:val="nil"/>
              <w:left w:val="nil"/>
              <w:bottom w:val="single" w:sz="8" w:space="0" w:color="auto"/>
              <w:right w:val="single" w:sz="8" w:space="0" w:color="auto"/>
            </w:tcBorders>
            <w:vAlign w:val="center"/>
          </w:tcPr>
          <w:p w:rsidR="006D0A44" w:rsidRPr="005F3625" w:rsidRDefault="004230BB">
            <w:pPr>
              <w:widowControl/>
              <w:spacing w:line="560" w:lineRule="exact"/>
              <w:jc w:val="center"/>
              <w:rPr>
                <w:rFonts w:ascii="仿宋" w:eastAsia="仿宋" w:hAnsi="仿宋" w:cs="宋体"/>
                <w:color w:val="000000" w:themeColor="text1"/>
                <w:kern w:val="0"/>
                <w:sz w:val="24"/>
              </w:rPr>
            </w:pPr>
            <w:r w:rsidRPr="005F3625">
              <w:rPr>
                <w:rFonts w:ascii="仿宋" w:eastAsia="仿宋" w:hAnsi="仿宋" w:cs="宋体" w:hint="eastAsia"/>
                <w:color w:val="000000" w:themeColor="text1"/>
                <w:kern w:val="0"/>
                <w:sz w:val="24"/>
              </w:rPr>
              <w:t>差</w:t>
            </w:r>
          </w:p>
        </w:tc>
      </w:tr>
    </w:tbl>
    <w:p w:rsidR="006D0A44" w:rsidRPr="005F3625" w:rsidRDefault="004230BB">
      <w:pPr>
        <w:spacing w:line="560" w:lineRule="exact"/>
        <w:outlineLvl w:val="1"/>
        <w:rPr>
          <w:rFonts w:ascii="黑体" w:eastAsia="黑体" w:hAnsi="黑体"/>
          <w:b/>
          <w:color w:val="000000" w:themeColor="text1"/>
          <w:sz w:val="32"/>
          <w:szCs w:val="32"/>
        </w:rPr>
      </w:pPr>
      <w:bookmarkStart w:id="18" w:name="_Toc421917368"/>
      <w:r w:rsidRPr="005F3625">
        <w:rPr>
          <w:rFonts w:ascii="黑体" w:eastAsia="黑体" w:hAnsi="黑体" w:hint="eastAsia"/>
          <w:b/>
          <w:color w:val="000000" w:themeColor="text1"/>
          <w:sz w:val="32"/>
          <w:szCs w:val="32"/>
        </w:rPr>
        <w:t>三、 项目绩效分析及评价结论</w:t>
      </w:r>
      <w:bookmarkEnd w:id="18"/>
    </w:p>
    <w:p w:rsidR="006D0A44" w:rsidRPr="005F3625" w:rsidRDefault="004230BB">
      <w:pPr>
        <w:spacing w:line="560" w:lineRule="exact"/>
        <w:ind w:firstLineChars="100" w:firstLine="321"/>
        <w:outlineLvl w:val="2"/>
        <w:rPr>
          <w:rFonts w:ascii="黑体" w:eastAsia="黑体" w:hAnsi="黑体"/>
          <w:b/>
          <w:color w:val="000000" w:themeColor="text1"/>
          <w:sz w:val="32"/>
          <w:szCs w:val="32"/>
        </w:rPr>
      </w:pPr>
      <w:bookmarkStart w:id="19" w:name="_Toc421917369"/>
      <w:r w:rsidRPr="005F3625">
        <w:rPr>
          <w:rFonts w:ascii="黑体" w:eastAsia="黑体" w:hAnsi="黑体" w:hint="eastAsia"/>
          <w:b/>
          <w:color w:val="000000" w:themeColor="text1"/>
          <w:sz w:val="32"/>
          <w:szCs w:val="32"/>
        </w:rPr>
        <w:t>（一）项目</w:t>
      </w:r>
      <w:bookmarkEnd w:id="19"/>
      <w:r w:rsidRPr="005F3625">
        <w:rPr>
          <w:rFonts w:ascii="黑体" w:eastAsia="黑体" w:hAnsi="黑体" w:hint="eastAsia"/>
          <w:b/>
          <w:color w:val="000000" w:themeColor="text1"/>
          <w:sz w:val="32"/>
          <w:szCs w:val="32"/>
        </w:rPr>
        <w:t>决策</w:t>
      </w:r>
    </w:p>
    <w:p w:rsidR="006D0A44" w:rsidRPr="005F3625" w:rsidRDefault="004230BB">
      <w:pPr>
        <w:spacing w:line="560" w:lineRule="exact"/>
        <w:ind w:firstLineChars="196" w:firstLine="630"/>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1.1项目立项依据充分性</w:t>
      </w:r>
    </w:p>
    <w:p w:rsidR="006D0A44" w:rsidRPr="005F3625" w:rsidRDefault="004230BB">
      <w:pPr>
        <w:spacing w:line="560" w:lineRule="exact"/>
        <w:ind w:firstLineChars="196" w:firstLine="627"/>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通过查阅相关资料，我们认为，项目立项有充分的依据，是十分必要的，立项资料完整，编制科学、实事求是。</w:t>
      </w:r>
    </w:p>
    <w:p w:rsidR="006D0A44" w:rsidRPr="005F3625" w:rsidRDefault="004230BB">
      <w:pPr>
        <w:spacing w:line="560" w:lineRule="exact"/>
        <w:ind w:firstLineChars="200" w:firstLine="640"/>
        <w:rPr>
          <w:rFonts w:ascii="仿宋_GB2312" w:eastAsia="仿宋_GB2312" w:hAnsi="仿宋_GB2312" w:cs="仿宋_GB2312"/>
          <w:bCs/>
          <w:color w:val="000000" w:themeColor="text1"/>
          <w:kern w:val="44"/>
          <w:sz w:val="32"/>
          <w:szCs w:val="32"/>
          <w:shd w:val="clear" w:color="auto" w:fill="FFFFFF"/>
        </w:rPr>
      </w:pPr>
      <w:r w:rsidRPr="005F3625">
        <w:rPr>
          <w:rFonts w:ascii="仿宋_GB2312" w:eastAsia="仿宋_GB2312" w:hAnsi="仿宋_GB2312" w:cs="仿宋_GB2312" w:hint="eastAsia"/>
          <w:bCs/>
          <w:color w:val="000000" w:themeColor="text1"/>
          <w:kern w:val="44"/>
          <w:sz w:val="32"/>
          <w:szCs w:val="32"/>
          <w:shd w:val="clear" w:color="auto" w:fill="FFFFFF"/>
        </w:rPr>
        <w:t>依据《中央宣传部、司法部关于开展法治宣传教育的第八个五年规划（2021－2025年）》等文件对普法宣传工作提出了明确要求。</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全民普法是全面依法治国的长期基础性工作。在习近平新时代中国特色社会主义思想特别是习近平法治思想的科学指引下，在党中央、国务院正确领导下，全国第七个五年法治宣传教育规划（2016－2020年）顺利实施完成，取得重要成果。以宪法为核心的中国特色社会主义法律体系学习宣传深入开展，“谁执法谁普法”等普法责任制广泛实行，法治文化蓬勃发展，全社会法治观念明显增强，社会治理法治化水平明显提高。</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1.2项目立项绩效目标合理性</w:t>
      </w:r>
    </w:p>
    <w:p w:rsidR="006D0A44" w:rsidRPr="005F3625" w:rsidRDefault="004230BB">
      <w:pPr>
        <w:pStyle w:val="GB2312552"/>
        <w:spacing w:before="0" w:after="0" w:line="560" w:lineRule="exact"/>
        <w:rPr>
          <w:rFonts w:ascii="仿宋_GB2312" w:hAnsi="仿宋"/>
          <w:color w:val="000000" w:themeColor="text1"/>
          <w:sz w:val="32"/>
          <w:szCs w:val="32"/>
        </w:rPr>
      </w:pPr>
      <w:r w:rsidRPr="005F3625">
        <w:rPr>
          <w:rFonts w:ascii="仿宋_GB2312" w:hAnsi="仿宋" w:hint="eastAsia"/>
          <w:color w:val="000000" w:themeColor="text1"/>
          <w:sz w:val="32"/>
          <w:szCs w:val="32"/>
        </w:rPr>
        <w:t>该项目总体目标符合国家相关法律法规、国民经济发展规划和党委政府决策，项目实施绩效目标、项目预期产出效益和效果符合正常的业绩水平，与预算投入的资金量相匹配。</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lastRenderedPageBreak/>
        <w:t>1.3项目立项指标明确性</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项目年度项目绩效目标是清晰的、完整的；绩效指标与项目年度任务数相对应；与预算确定的项目投资额或资金量相匹配。</w:t>
      </w:r>
    </w:p>
    <w:p w:rsidR="006D0A44" w:rsidRPr="005F3625" w:rsidRDefault="004230BB">
      <w:pPr>
        <w:adjustRightInd w:val="0"/>
        <w:snapToGrid w:val="0"/>
        <w:spacing w:line="560" w:lineRule="exact"/>
        <w:ind w:firstLine="646"/>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1.4资金投入预算编制科学性</w:t>
      </w:r>
    </w:p>
    <w:p w:rsidR="006D0A44" w:rsidRPr="005F3625" w:rsidRDefault="004230BB">
      <w:pPr>
        <w:spacing w:line="560" w:lineRule="exact"/>
        <w:ind w:firstLineChars="200" w:firstLine="640"/>
        <w:rPr>
          <w:rFonts w:ascii="仿宋_GB2312" w:eastAsia="仿宋_GB2312" w:hAnsi="仿宋" w:cs="宋体"/>
          <w:color w:val="000000" w:themeColor="text1"/>
          <w:kern w:val="0"/>
          <w:sz w:val="32"/>
          <w:szCs w:val="32"/>
        </w:rPr>
      </w:pPr>
      <w:r w:rsidRPr="005F3625">
        <w:rPr>
          <w:rFonts w:ascii="仿宋_GB2312" w:eastAsia="仿宋_GB2312" w:hAnsi="仿宋" w:cs="宋体" w:hint="eastAsia"/>
          <w:color w:val="000000" w:themeColor="text1"/>
          <w:kern w:val="0"/>
          <w:sz w:val="32"/>
          <w:szCs w:val="32"/>
        </w:rPr>
        <w:t>2024年，</w:t>
      </w:r>
      <w:r w:rsidRPr="005F3625">
        <w:rPr>
          <w:rFonts w:ascii="仿宋_GB2312" w:eastAsia="仿宋_GB2312" w:hAnsi="仿宋" w:hint="eastAsia"/>
          <w:color w:val="000000" w:themeColor="text1"/>
          <w:sz w:val="32"/>
          <w:szCs w:val="32"/>
        </w:rPr>
        <w:t>普法宣传</w:t>
      </w:r>
      <w:r w:rsidRPr="005F3625">
        <w:rPr>
          <w:rFonts w:ascii="仿宋_GB2312" w:eastAsia="仿宋_GB2312" w:hAnsi="仿宋" w:cs="宋体" w:hint="eastAsia"/>
          <w:color w:val="000000" w:themeColor="text1"/>
          <w:kern w:val="0"/>
          <w:sz w:val="32"/>
          <w:szCs w:val="32"/>
        </w:rPr>
        <w:t>经费4万元，在“</w:t>
      </w:r>
      <w:r w:rsidRPr="005F3625">
        <w:rPr>
          <w:rFonts w:ascii="仿宋_GB2312" w:eastAsia="仿宋_GB2312" w:hAnsi="仿宋_GB2312" w:cs="仿宋_GB2312" w:hint="eastAsia"/>
          <w:color w:val="000000" w:themeColor="text1"/>
          <w:sz w:val="32"/>
          <w:szCs w:val="32"/>
        </w:rPr>
        <w:t>平安建设”集中宣传月、</w:t>
      </w:r>
      <w:r w:rsidRPr="005F3625">
        <w:rPr>
          <w:rFonts w:ascii="仿宋_GB2312" w:eastAsia="仿宋_GB2312" w:hAnsi="仿宋" w:cs="宋体" w:hint="eastAsia"/>
          <w:color w:val="000000" w:themeColor="text1"/>
          <w:kern w:val="0"/>
          <w:sz w:val="32"/>
          <w:szCs w:val="32"/>
        </w:rPr>
        <w:t>“民法典”宣传月、宪法宣传日等重要节点，积极开展普法宣传，发放宣传册、法治小围裙等宣传品共1000余份。组织开展“法律明白人”及骨干培训，积极推动“民主法治示范村（社区）”建设，群众法律意识明显提升，取得有效成果。</w:t>
      </w:r>
    </w:p>
    <w:p w:rsidR="006D0A44" w:rsidRPr="005F3625" w:rsidRDefault="004230BB">
      <w:pPr>
        <w:spacing w:line="560" w:lineRule="exact"/>
        <w:ind w:firstLineChars="200" w:firstLine="643"/>
        <w:outlineLvl w:val="2"/>
        <w:rPr>
          <w:rFonts w:ascii="黑体" w:eastAsia="黑体" w:hAnsi="黑体"/>
          <w:b/>
          <w:color w:val="000000" w:themeColor="text1"/>
          <w:sz w:val="32"/>
          <w:szCs w:val="32"/>
        </w:rPr>
      </w:pPr>
      <w:bookmarkStart w:id="20" w:name="_Toc421917370"/>
      <w:r w:rsidRPr="005F3625">
        <w:rPr>
          <w:rFonts w:ascii="黑体" w:eastAsia="黑体" w:hAnsi="黑体" w:hint="eastAsia"/>
          <w:b/>
          <w:color w:val="000000" w:themeColor="text1"/>
          <w:sz w:val="32"/>
          <w:szCs w:val="32"/>
        </w:rPr>
        <w:t>（二）项目过程</w:t>
      </w:r>
      <w:bookmarkEnd w:id="20"/>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2.1资金到位率</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项目年初制定预算资金4万元,实际拨付预算资金4万元，实际资金到位率为100%,项目预算执行及时，资金到位率合格。</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2.2预算执行率</w:t>
      </w:r>
    </w:p>
    <w:p w:rsidR="006D0A44" w:rsidRPr="005F3625" w:rsidRDefault="004230BB">
      <w:pPr>
        <w:spacing w:line="560" w:lineRule="exact"/>
        <w:ind w:firstLineChars="200" w:firstLine="640"/>
        <w:rPr>
          <w:rFonts w:ascii="仿宋_GB2312" w:eastAsia="仿宋_GB2312" w:hAnsi="仿宋"/>
          <w:b/>
          <w:bCs/>
          <w:color w:val="000000" w:themeColor="text1"/>
          <w:sz w:val="32"/>
          <w:szCs w:val="32"/>
        </w:rPr>
      </w:pPr>
      <w:r w:rsidRPr="005F3625">
        <w:rPr>
          <w:rFonts w:ascii="仿宋_GB2312" w:eastAsia="仿宋_GB2312" w:hAnsi="仿宋" w:hint="eastAsia"/>
          <w:color w:val="000000" w:themeColor="text1"/>
          <w:sz w:val="32"/>
          <w:szCs w:val="32"/>
        </w:rPr>
        <w:t>2024年度普法宣传项目实际使用资金4万元,年初预算资金4万元,实际预算执行率100%。</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2.3财务管理制度的健全性</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财务管理制度是单位会计管理的重要制度，只有建立一套完整、切实可行的财务管理制度,才能减少和控制资产的损失风险,规范会计行为,从而保证国家统一会计制度的有效实施。司法局财务管理制度比较健全，制定了《财务管理</w:t>
      </w:r>
      <w:r w:rsidRPr="005F3625">
        <w:rPr>
          <w:rFonts w:ascii="仿宋_GB2312" w:eastAsia="仿宋_GB2312" w:hAnsi="仿宋" w:hint="eastAsia"/>
          <w:color w:val="000000" w:themeColor="text1"/>
          <w:sz w:val="32"/>
          <w:szCs w:val="32"/>
        </w:rPr>
        <w:lastRenderedPageBreak/>
        <w:t>规定》、《财务人员工作职责》等相应的财务管理制度对专项资金的管理作了明确的规定。</w:t>
      </w:r>
    </w:p>
    <w:p w:rsidR="006D0A44" w:rsidRPr="005F3625" w:rsidRDefault="004230BB">
      <w:pPr>
        <w:spacing w:line="560" w:lineRule="exact"/>
        <w:ind w:firstLineChars="200" w:firstLine="643"/>
        <w:rPr>
          <w:rFonts w:ascii="仿宋_GB2312" w:eastAsia="仿宋_GB2312" w:hAnsi="仿宋"/>
          <w:b/>
          <w:color w:val="000000" w:themeColor="text1"/>
          <w:sz w:val="32"/>
          <w:szCs w:val="32"/>
        </w:rPr>
      </w:pPr>
      <w:r w:rsidRPr="005F3625">
        <w:rPr>
          <w:rFonts w:ascii="仿宋_GB2312" w:eastAsia="仿宋_GB2312" w:hAnsi="仿宋" w:hint="eastAsia"/>
          <w:b/>
          <w:color w:val="000000" w:themeColor="text1"/>
          <w:sz w:val="32"/>
          <w:szCs w:val="32"/>
        </w:rPr>
        <w:t>2.4资金使用合</w:t>
      </w:r>
      <w:proofErr w:type="gramStart"/>
      <w:r w:rsidRPr="005F3625">
        <w:rPr>
          <w:rFonts w:ascii="仿宋_GB2312" w:eastAsia="仿宋_GB2312" w:hAnsi="仿宋" w:hint="eastAsia"/>
          <w:b/>
          <w:color w:val="000000" w:themeColor="text1"/>
          <w:sz w:val="32"/>
          <w:szCs w:val="32"/>
        </w:rPr>
        <w:t>规</w:t>
      </w:r>
      <w:proofErr w:type="gramEnd"/>
      <w:r w:rsidRPr="005F3625">
        <w:rPr>
          <w:rFonts w:ascii="仿宋_GB2312" w:eastAsia="仿宋_GB2312" w:hAnsi="仿宋" w:hint="eastAsia"/>
          <w:b/>
          <w:color w:val="000000" w:themeColor="text1"/>
          <w:sz w:val="32"/>
          <w:szCs w:val="32"/>
        </w:rPr>
        <w:t>性</w:t>
      </w:r>
    </w:p>
    <w:p w:rsidR="006D0A44" w:rsidRPr="005F3625" w:rsidRDefault="004230BB">
      <w:pPr>
        <w:spacing w:line="560" w:lineRule="exact"/>
        <w:ind w:firstLineChars="200" w:firstLine="640"/>
        <w:jc w:val="left"/>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通过检查项目资金明细账、原始凭证及相关附件，项目实际支出与项目计划投入资金的用途相符，符合《中华人民共和国会计法》、《中华人民共和国预算法》、和《事业单位会计制度》的规定；资金的使用有完整的审批程序和手续，不存在超标列支相关费用；不存在截留、挤占、挪用、虚列支出；项目支出发票合法合</w:t>
      </w:r>
      <w:proofErr w:type="gramStart"/>
      <w:r w:rsidRPr="005F3625">
        <w:rPr>
          <w:rFonts w:ascii="仿宋_GB2312" w:eastAsia="仿宋_GB2312" w:hAnsi="仿宋" w:hint="eastAsia"/>
          <w:color w:val="000000" w:themeColor="text1"/>
          <w:sz w:val="32"/>
          <w:szCs w:val="32"/>
        </w:rPr>
        <w:t>规</w:t>
      </w:r>
      <w:proofErr w:type="gramEnd"/>
      <w:r w:rsidRPr="005F3625">
        <w:rPr>
          <w:rFonts w:ascii="仿宋_GB2312" w:eastAsia="仿宋_GB2312" w:hAnsi="仿宋" w:hint="eastAsia"/>
          <w:color w:val="000000" w:themeColor="text1"/>
          <w:sz w:val="32"/>
          <w:szCs w:val="32"/>
        </w:rPr>
        <w:t xml:space="preserve">。 </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2.5资金单独核算</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已经按照《中华人民共和国会计法》《事业单位会计准则》及《事业单位单位会计制度》管理规定，建立相关账目及会计科目，确保会计信息及时、准确、真实、完整。对</w:t>
      </w:r>
      <w:r w:rsidR="002C7A6F">
        <w:rPr>
          <w:rFonts w:ascii="仿宋_GB2312" w:eastAsia="仿宋_GB2312" w:hAnsi="仿宋" w:hint="eastAsia"/>
          <w:color w:val="000000" w:themeColor="text1"/>
          <w:sz w:val="32"/>
          <w:szCs w:val="32"/>
        </w:rPr>
        <w:t>普法宣传</w:t>
      </w:r>
      <w:r w:rsidRPr="005F3625">
        <w:rPr>
          <w:rFonts w:ascii="仿宋_GB2312" w:eastAsia="仿宋_GB2312" w:hAnsi="仿宋" w:hint="eastAsia"/>
          <w:color w:val="000000" w:themeColor="text1"/>
          <w:sz w:val="32"/>
          <w:szCs w:val="32"/>
        </w:rPr>
        <w:t>支出建立了辅助明细账，严格进行专项核算，全年</w:t>
      </w:r>
      <w:r w:rsidR="002C7A6F">
        <w:rPr>
          <w:rFonts w:ascii="仿宋_GB2312" w:eastAsia="仿宋_GB2312" w:hAnsi="仿宋" w:hint="eastAsia"/>
          <w:color w:val="000000" w:themeColor="text1"/>
          <w:sz w:val="32"/>
          <w:szCs w:val="32"/>
        </w:rPr>
        <w:t>普法宣传</w:t>
      </w:r>
      <w:r w:rsidRPr="005F3625">
        <w:rPr>
          <w:rFonts w:ascii="仿宋_GB2312" w:eastAsia="仿宋_GB2312" w:hAnsi="仿宋" w:hint="eastAsia"/>
          <w:color w:val="000000" w:themeColor="text1"/>
          <w:sz w:val="32"/>
          <w:szCs w:val="32"/>
        </w:rPr>
        <w:t>实际使用资金4万元。</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2.6财务信息质量</w:t>
      </w:r>
    </w:p>
    <w:p w:rsidR="006D0A44" w:rsidRPr="005F3625" w:rsidRDefault="004230BB">
      <w:pPr>
        <w:spacing w:line="560" w:lineRule="exact"/>
        <w:ind w:firstLineChars="200" w:firstLine="640"/>
        <w:rPr>
          <w:rFonts w:ascii="仿宋_GB2312" w:eastAsia="仿宋_GB2312" w:hAnsi="仿宋"/>
          <w:color w:val="000000" w:themeColor="text1"/>
          <w:sz w:val="32"/>
          <w:szCs w:val="32"/>
          <w:u w:val="single"/>
        </w:rPr>
      </w:pPr>
      <w:r w:rsidRPr="005F3625">
        <w:rPr>
          <w:rFonts w:ascii="仿宋_GB2312" w:eastAsia="仿宋_GB2312" w:hAnsi="仿宋" w:hint="eastAsia"/>
          <w:color w:val="000000" w:themeColor="text1"/>
          <w:sz w:val="32"/>
          <w:szCs w:val="32"/>
        </w:rPr>
        <w:t>司法局执行政府会计制度，项目资金通过国库集中支付</w:t>
      </w:r>
      <w:proofErr w:type="gramStart"/>
      <w:r w:rsidRPr="005F3625">
        <w:rPr>
          <w:rFonts w:ascii="仿宋_GB2312" w:eastAsia="仿宋_GB2312" w:hAnsi="仿宋" w:hint="eastAsia"/>
          <w:color w:val="000000" w:themeColor="text1"/>
          <w:sz w:val="32"/>
          <w:szCs w:val="32"/>
        </w:rPr>
        <w:t>支付</w:t>
      </w:r>
      <w:proofErr w:type="gramEnd"/>
      <w:r w:rsidRPr="005F3625">
        <w:rPr>
          <w:rFonts w:ascii="仿宋_GB2312" w:eastAsia="仿宋_GB2312" w:hAnsi="仿宋" w:hint="eastAsia"/>
          <w:color w:val="000000" w:themeColor="text1"/>
          <w:sz w:val="32"/>
          <w:szCs w:val="32"/>
        </w:rPr>
        <w:t>，资金拨付使用严格按照程序执行，以保证财政资金的安全完整，且有比较完整的财务管理规定和制度，账簿及原始凭证齐全，账实相符，手续齐备，会计账务保存完整，能够比较全面反映部门资金使用的财务信息和实际状况。切实做到账簿完整、帐实相符、帐表相符、表表相符、会计核算清楚规范。</w:t>
      </w:r>
    </w:p>
    <w:p w:rsidR="006D0A44" w:rsidRPr="005F3625" w:rsidRDefault="004230BB">
      <w:pPr>
        <w:spacing w:line="560" w:lineRule="exact"/>
        <w:ind w:firstLineChars="200" w:firstLine="643"/>
        <w:rPr>
          <w:rFonts w:ascii="仿宋_GB2312" w:eastAsia="仿宋_GB2312" w:hAnsi="仿宋"/>
          <w:b/>
          <w:bCs/>
          <w:color w:val="000000" w:themeColor="text1"/>
          <w:sz w:val="32"/>
          <w:szCs w:val="32"/>
        </w:rPr>
      </w:pPr>
      <w:r w:rsidRPr="005F3625">
        <w:rPr>
          <w:rFonts w:ascii="仿宋_GB2312" w:eastAsia="仿宋_GB2312" w:hAnsi="仿宋" w:hint="eastAsia"/>
          <w:b/>
          <w:bCs/>
          <w:color w:val="000000" w:themeColor="text1"/>
          <w:sz w:val="32"/>
          <w:szCs w:val="32"/>
        </w:rPr>
        <w:t>2.7组织实施</w:t>
      </w:r>
    </w:p>
    <w:p w:rsidR="006D0A44" w:rsidRPr="005F3625" w:rsidRDefault="004230BB">
      <w:pPr>
        <w:spacing w:line="560" w:lineRule="exact"/>
        <w:ind w:firstLineChars="250" w:firstLine="800"/>
        <w:rPr>
          <w:rFonts w:ascii="仿宋_GB2312" w:eastAsia="仿宋_GB2312" w:hAnsi="仿宋"/>
          <w:bCs/>
          <w:color w:val="000000" w:themeColor="text1"/>
          <w:sz w:val="32"/>
          <w:szCs w:val="32"/>
        </w:rPr>
      </w:pPr>
      <w:r w:rsidRPr="005F3625">
        <w:rPr>
          <w:rFonts w:ascii="仿宋_GB2312" w:eastAsia="仿宋_GB2312" w:hAnsi="仿宋" w:hint="eastAsia"/>
          <w:bCs/>
          <w:color w:val="000000" w:themeColor="text1"/>
          <w:sz w:val="32"/>
          <w:szCs w:val="32"/>
        </w:rPr>
        <w:lastRenderedPageBreak/>
        <w:t>按要求普法与依法</w:t>
      </w:r>
      <w:proofErr w:type="gramStart"/>
      <w:r w:rsidRPr="005F3625">
        <w:rPr>
          <w:rFonts w:ascii="仿宋_GB2312" w:eastAsia="仿宋_GB2312" w:hAnsi="仿宋" w:hint="eastAsia"/>
          <w:bCs/>
          <w:color w:val="000000" w:themeColor="text1"/>
          <w:sz w:val="32"/>
          <w:szCs w:val="32"/>
        </w:rPr>
        <w:t>治理股配备</w:t>
      </w:r>
      <w:proofErr w:type="gramEnd"/>
      <w:r w:rsidRPr="005F3625">
        <w:rPr>
          <w:rFonts w:ascii="仿宋_GB2312" w:eastAsia="仿宋_GB2312" w:hAnsi="仿宋" w:hint="eastAsia"/>
          <w:bCs/>
          <w:color w:val="000000" w:themeColor="text1"/>
          <w:sz w:val="32"/>
          <w:szCs w:val="32"/>
        </w:rPr>
        <w:t>法学专业且通过法律职业资格考试的专业人员。</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普法宣传工作没有场所要求。</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我们认为普法宣传经费项目需要的人员已按要求落实到位，工作开展井然有序。</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 xml:space="preserve">（三）项目产出 </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_GB2312" w:cs="仿宋_GB2312" w:hint="eastAsia"/>
          <w:color w:val="000000" w:themeColor="text1"/>
          <w:sz w:val="32"/>
          <w:szCs w:val="32"/>
        </w:rPr>
        <w:t>制定并印发《2024年全区普法依法治理工作要点》，创新开展“四量”普法模式，积极开展“平安建设”、民法典等宣传月活动，举办村两委干部暨“法律明白人”骨干培训班。积极开展民主法治示范村（社区）创建，并与“法律明白人”示范社区建设相结合</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（四）项目效果</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_GB2312" w:cs="仿宋_GB2312" w:hint="eastAsia"/>
          <w:color w:val="000000" w:themeColor="text1"/>
          <w:sz w:val="32"/>
          <w:szCs w:val="32"/>
        </w:rPr>
        <w:t>群众法律意识明显增强，对司法行政工作认识度和满意度明显提升。新钢街道路东社区、城南</w:t>
      </w:r>
      <w:proofErr w:type="gramStart"/>
      <w:r w:rsidRPr="005F3625">
        <w:rPr>
          <w:rFonts w:ascii="仿宋_GB2312" w:eastAsia="仿宋_GB2312" w:hAnsi="仿宋_GB2312" w:cs="仿宋_GB2312" w:hint="eastAsia"/>
          <w:color w:val="000000" w:themeColor="text1"/>
          <w:sz w:val="32"/>
          <w:szCs w:val="32"/>
        </w:rPr>
        <w:t>街道双</w:t>
      </w:r>
      <w:proofErr w:type="gramEnd"/>
      <w:r w:rsidRPr="005F3625">
        <w:rPr>
          <w:rFonts w:ascii="仿宋_GB2312" w:eastAsia="仿宋_GB2312" w:hAnsi="仿宋_GB2312" w:cs="仿宋_GB2312" w:hint="eastAsia"/>
          <w:color w:val="000000" w:themeColor="text1"/>
          <w:sz w:val="32"/>
          <w:szCs w:val="32"/>
        </w:rPr>
        <w:t>凤楼社区、孔</w:t>
      </w:r>
      <w:proofErr w:type="gramStart"/>
      <w:r w:rsidRPr="005F3625">
        <w:rPr>
          <w:rFonts w:ascii="仿宋_GB2312" w:eastAsia="仿宋_GB2312" w:hAnsi="仿宋_GB2312" w:cs="仿宋_GB2312" w:hint="eastAsia"/>
          <w:color w:val="000000" w:themeColor="text1"/>
          <w:sz w:val="32"/>
          <w:szCs w:val="32"/>
        </w:rPr>
        <w:t>目江街道</w:t>
      </w:r>
      <w:proofErr w:type="gramEnd"/>
      <w:r w:rsidRPr="005F3625">
        <w:rPr>
          <w:rFonts w:ascii="仿宋_GB2312" w:eastAsia="仿宋_GB2312" w:hAnsi="仿宋_GB2312" w:cs="仿宋_GB2312" w:hint="eastAsia"/>
          <w:color w:val="000000" w:themeColor="text1"/>
          <w:sz w:val="32"/>
          <w:szCs w:val="32"/>
        </w:rPr>
        <w:t>新苑社区等已打造成法律明白人</w:t>
      </w:r>
      <w:proofErr w:type="gramStart"/>
      <w:r w:rsidRPr="005F3625">
        <w:rPr>
          <w:rFonts w:ascii="仿宋_GB2312" w:eastAsia="仿宋_GB2312" w:hAnsi="仿宋_GB2312" w:cs="仿宋_GB2312" w:hint="eastAsia"/>
          <w:color w:val="000000" w:themeColor="text1"/>
          <w:sz w:val="32"/>
          <w:szCs w:val="32"/>
        </w:rPr>
        <w:t>”</w:t>
      </w:r>
      <w:proofErr w:type="gramEnd"/>
      <w:r w:rsidRPr="005F3625">
        <w:rPr>
          <w:rFonts w:ascii="仿宋_GB2312" w:eastAsia="仿宋_GB2312" w:hAnsi="仿宋_GB2312" w:cs="仿宋_GB2312" w:hint="eastAsia"/>
          <w:color w:val="000000" w:themeColor="text1"/>
          <w:sz w:val="32"/>
          <w:szCs w:val="32"/>
        </w:rPr>
        <w:t>示范社区。罗坊镇东边村委书记宋卫保荣获</w:t>
      </w:r>
      <w:proofErr w:type="gramStart"/>
      <w:r w:rsidRPr="005F3625">
        <w:rPr>
          <w:rFonts w:ascii="仿宋_GB2312" w:eastAsia="仿宋_GB2312" w:hAnsi="仿宋_GB2312" w:cs="仿宋_GB2312" w:hint="eastAsia"/>
          <w:color w:val="000000" w:themeColor="text1"/>
          <w:sz w:val="32"/>
          <w:szCs w:val="32"/>
        </w:rPr>
        <w:t>省级百</w:t>
      </w:r>
      <w:proofErr w:type="gramEnd"/>
      <w:r w:rsidRPr="005F3625">
        <w:rPr>
          <w:rFonts w:ascii="仿宋_GB2312" w:eastAsia="仿宋_GB2312" w:hAnsi="仿宋_GB2312" w:cs="仿宋_GB2312" w:hint="eastAsia"/>
          <w:color w:val="000000" w:themeColor="text1"/>
          <w:sz w:val="32"/>
          <w:szCs w:val="32"/>
        </w:rPr>
        <w:t>优“法律明白人”，下村</w:t>
      </w:r>
      <w:proofErr w:type="gramStart"/>
      <w:r w:rsidRPr="005F3625">
        <w:rPr>
          <w:rFonts w:ascii="仿宋_GB2312" w:eastAsia="仿宋_GB2312" w:hAnsi="仿宋_GB2312" w:cs="仿宋_GB2312" w:hint="eastAsia"/>
          <w:color w:val="000000" w:themeColor="text1"/>
          <w:sz w:val="32"/>
          <w:szCs w:val="32"/>
        </w:rPr>
        <w:t>甘秀埠</w:t>
      </w:r>
      <w:proofErr w:type="gramEnd"/>
      <w:r w:rsidRPr="005F3625">
        <w:rPr>
          <w:rFonts w:ascii="仿宋_GB2312" w:eastAsia="仿宋_GB2312" w:hAnsi="仿宋_GB2312" w:cs="仿宋_GB2312" w:hint="eastAsia"/>
          <w:color w:val="000000" w:themeColor="text1"/>
          <w:sz w:val="32"/>
          <w:szCs w:val="32"/>
        </w:rPr>
        <w:t>村、罗坊东边村、珠</w:t>
      </w:r>
      <w:proofErr w:type="gramStart"/>
      <w:r w:rsidRPr="005F3625">
        <w:rPr>
          <w:rFonts w:ascii="仿宋_GB2312" w:eastAsia="仿宋_GB2312" w:hAnsi="仿宋_GB2312" w:cs="仿宋_GB2312" w:hint="eastAsia"/>
          <w:color w:val="000000" w:themeColor="text1"/>
          <w:sz w:val="32"/>
          <w:szCs w:val="32"/>
        </w:rPr>
        <w:t>珊</w:t>
      </w:r>
      <w:proofErr w:type="gramEnd"/>
      <w:r w:rsidRPr="005F3625">
        <w:rPr>
          <w:rFonts w:ascii="仿宋_GB2312" w:eastAsia="仿宋_GB2312" w:hAnsi="仿宋_GB2312" w:cs="仿宋_GB2312" w:hint="eastAsia"/>
          <w:color w:val="000000" w:themeColor="text1"/>
          <w:sz w:val="32"/>
          <w:szCs w:val="32"/>
        </w:rPr>
        <w:t>西岸村、南安新生村、下村花堆村等5个村委被命名为第六批新余市民主法治示范村（社区）。</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向服务对象发放调查问卷20份,收回20份,主要调查项目实施情况、项目实施效果。从问卷调查情况来看，收回的20份调查问卷都表示</w:t>
      </w:r>
      <w:r w:rsidRPr="005F3625">
        <w:rPr>
          <w:rFonts w:ascii="仿宋_GB2312" w:eastAsia="仿宋_GB2312" w:hAnsi="仿宋" w:cs="宋体" w:hint="eastAsia"/>
          <w:color w:val="000000" w:themeColor="text1"/>
          <w:kern w:val="0"/>
          <w:sz w:val="32"/>
          <w:szCs w:val="32"/>
        </w:rPr>
        <w:t>开展</w:t>
      </w:r>
      <w:r w:rsidR="007D577B" w:rsidRPr="005F3625">
        <w:rPr>
          <w:rFonts w:ascii="仿宋_GB2312" w:eastAsia="仿宋_GB2312" w:hAnsi="仿宋" w:cs="宋体" w:hint="eastAsia"/>
          <w:color w:val="000000" w:themeColor="text1"/>
          <w:kern w:val="0"/>
          <w:sz w:val="32"/>
          <w:szCs w:val="32"/>
        </w:rPr>
        <w:t>普法宣传</w:t>
      </w:r>
      <w:r w:rsidRPr="005F3625">
        <w:rPr>
          <w:rFonts w:ascii="仿宋_GB2312" w:eastAsia="仿宋_GB2312" w:hAnsi="仿宋" w:cs="宋体" w:hint="eastAsia"/>
          <w:color w:val="000000" w:themeColor="text1"/>
          <w:kern w:val="0"/>
          <w:sz w:val="32"/>
          <w:szCs w:val="32"/>
        </w:rPr>
        <w:t>工作效果很好，服务对象</w:t>
      </w:r>
      <w:r w:rsidRPr="005F3625">
        <w:rPr>
          <w:rFonts w:ascii="仿宋_GB2312" w:eastAsia="仿宋_GB2312" w:hAnsi="仿宋" w:hint="eastAsia"/>
          <w:color w:val="000000" w:themeColor="text1"/>
          <w:sz w:val="32"/>
          <w:szCs w:val="32"/>
        </w:rPr>
        <w:t>满意度高。</w:t>
      </w:r>
    </w:p>
    <w:p w:rsidR="006D0A44" w:rsidRPr="005F3625" w:rsidRDefault="004230BB">
      <w:pPr>
        <w:spacing w:line="560" w:lineRule="exact"/>
        <w:rPr>
          <w:rFonts w:ascii="仿宋_GB2312" w:eastAsia="仿宋_GB2312" w:hAnsi="仿宋"/>
          <w:color w:val="000000" w:themeColor="text1"/>
          <w:sz w:val="32"/>
          <w:szCs w:val="32"/>
        </w:rPr>
      </w:pPr>
      <w:r w:rsidRPr="005F3625">
        <w:rPr>
          <w:rFonts w:ascii="黑体" w:eastAsia="黑体" w:hAnsi="黑体" w:hint="eastAsia"/>
          <w:b/>
          <w:color w:val="000000" w:themeColor="text1"/>
          <w:sz w:val="32"/>
          <w:szCs w:val="32"/>
        </w:rPr>
        <w:t>（五）评价结论</w:t>
      </w:r>
    </w:p>
    <w:p w:rsidR="006D0A44" w:rsidRPr="005F3625" w:rsidRDefault="004230BB">
      <w:pPr>
        <w:spacing w:line="560" w:lineRule="exact"/>
        <w:ind w:firstLineChars="200" w:firstLine="643"/>
        <w:rPr>
          <w:rFonts w:ascii="仿宋_GB2312" w:eastAsia="仿宋_GB2312" w:hAnsi="仿宋"/>
          <w:b/>
          <w:color w:val="000000" w:themeColor="text1"/>
          <w:sz w:val="32"/>
          <w:szCs w:val="32"/>
        </w:rPr>
      </w:pPr>
      <w:r w:rsidRPr="005F3625">
        <w:rPr>
          <w:rFonts w:ascii="仿宋_GB2312" w:eastAsia="仿宋_GB2312" w:hAnsi="仿宋" w:hint="eastAsia"/>
          <w:b/>
          <w:color w:val="000000" w:themeColor="text1"/>
          <w:sz w:val="32"/>
          <w:szCs w:val="32"/>
        </w:rPr>
        <w:lastRenderedPageBreak/>
        <w:t>1、评分结果</w:t>
      </w:r>
    </w:p>
    <w:tbl>
      <w:tblPr>
        <w:tblW w:w="8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7"/>
        <w:gridCol w:w="1719"/>
        <w:gridCol w:w="1719"/>
        <w:gridCol w:w="1387"/>
        <w:gridCol w:w="2053"/>
      </w:tblGrid>
      <w:tr w:rsidR="006D0A44" w:rsidRPr="005F3625" w:rsidTr="007D577B">
        <w:trPr>
          <w:trHeight w:hRule="exact" w:val="507"/>
          <w:tblHeader/>
        </w:trPr>
        <w:tc>
          <w:tcPr>
            <w:tcW w:w="1467" w:type="dxa"/>
            <w:vAlign w:val="center"/>
          </w:tcPr>
          <w:p w:rsidR="006D0A44" w:rsidRPr="005F3625" w:rsidRDefault="004230BB" w:rsidP="007D577B">
            <w:pPr>
              <w:widowControl/>
              <w:spacing w:line="560" w:lineRule="exact"/>
              <w:jc w:val="center"/>
              <w:rPr>
                <w:rFonts w:ascii="仿宋_GB2312" w:eastAsia="仿宋_GB2312" w:hAnsi="仿宋" w:cs="宋体"/>
                <w:b/>
                <w:color w:val="000000" w:themeColor="text1"/>
                <w:kern w:val="0"/>
                <w:sz w:val="20"/>
                <w:szCs w:val="20"/>
              </w:rPr>
            </w:pPr>
            <w:r w:rsidRPr="005F3625">
              <w:rPr>
                <w:rFonts w:ascii="仿宋_GB2312" w:eastAsia="仿宋_GB2312" w:hAnsi="仿宋" w:cs="宋体" w:hint="eastAsia"/>
                <w:b/>
                <w:color w:val="000000" w:themeColor="text1"/>
                <w:kern w:val="0"/>
                <w:sz w:val="20"/>
                <w:szCs w:val="20"/>
              </w:rPr>
              <w:t>评价指标</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b/>
                <w:color w:val="000000" w:themeColor="text1"/>
                <w:kern w:val="0"/>
                <w:sz w:val="20"/>
                <w:szCs w:val="20"/>
              </w:rPr>
            </w:pPr>
            <w:r w:rsidRPr="005F3625">
              <w:rPr>
                <w:rFonts w:ascii="仿宋_GB2312" w:eastAsia="仿宋_GB2312" w:hAnsi="仿宋" w:cs="宋体" w:hint="eastAsia"/>
                <w:b/>
                <w:color w:val="000000" w:themeColor="text1"/>
                <w:kern w:val="0"/>
                <w:sz w:val="20"/>
                <w:szCs w:val="20"/>
              </w:rPr>
              <w:t>权重</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b/>
                <w:color w:val="000000" w:themeColor="text1"/>
                <w:kern w:val="0"/>
                <w:sz w:val="20"/>
                <w:szCs w:val="20"/>
              </w:rPr>
            </w:pPr>
            <w:r w:rsidRPr="005F3625">
              <w:rPr>
                <w:rFonts w:ascii="仿宋_GB2312" w:eastAsia="仿宋_GB2312" w:hAnsi="仿宋" w:cs="宋体" w:hint="eastAsia"/>
                <w:b/>
                <w:color w:val="000000" w:themeColor="text1"/>
                <w:kern w:val="0"/>
                <w:sz w:val="20"/>
                <w:szCs w:val="20"/>
              </w:rPr>
              <w:t>评级分值</w:t>
            </w:r>
          </w:p>
        </w:tc>
        <w:tc>
          <w:tcPr>
            <w:tcW w:w="1387" w:type="dxa"/>
            <w:vAlign w:val="center"/>
          </w:tcPr>
          <w:p w:rsidR="006D0A44" w:rsidRPr="005F3625" w:rsidRDefault="004230BB" w:rsidP="007D577B">
            <w:pPr>
              <w:widowControl/>
              <w:spacing w:line="560" w:lineRule="exact"/>
              <w:jc w:val="center"/>
              <w:rPr>
                <w:rFonts w:ascii="仿宋_GB2312" w:eastAsia="仿宋_GB2312" w:hAnsi="仿宋" w:cs="宋体"/>
                <w:b/>
                <w:color w:val="000000" w:themeColor="text1"/>
                <w:kern w:val="0"/>
                <w:sz w:val="20"/>
                <w:szCs w:val="20"/>
              </w:rPr>
            </w:pPr>
            <w:r w:rsidRPr="005F3625">
              <w:rPr>
                <w:rFonts w:ascii="仿宋_GB2312" w:eastAsia="仿宋_GB2312" w:hAnsi="仿宋" w:cs="宋体" w:hint="eastAsia"/>
                <w:b/>
                <w:color w:val="000000" w:themeColor="text1"/>
                <w:kern w:val="0"/>
                <w:sz w:val="20"/>
                <w:szCs w:val="20"/>
              </w:rPr>
              <w:t>本项目得分</w:t>
            </w:r>
          </w:p>
        </w:tc>
        <w:tc>
          <w:tcPr>
            <w:tcW w:w="2053" w:type="dxa"/>
            <w:vAlign w:val="center"/>
          </w:tcPr>
          <w:p w:rsidR="006D0A44" w:rsidRPr="005F3625" w:rsidRDefault="004230BB" w:rsidP="007D577B">
            <w:pPr>
              <w:widowControl/>
              <w:spacing w:line="560" w:lineRule="exact"/>
              <w:jc w:val="center"/>
              <w:rPr>
                <w:rFonts w:ascii="仿宋_GB2312" w:eastAsia="仿宋_GB2312" w:hAnsi="仿宋" w:cs="宋体"/>
                <w:b/>
                <w:color w:val="000000" w:themeColor="text1"/>
                <w:kern w:val="0"/>
                <w:sz w:val="20"/>
                <w:szCs w:val="20"/>
              </w:rPr>
            </w:pPr>
            <w:r w:rsidRPr="005F3625">
              <w:rPr>
                <w:rFonts w:ascii="仿宋_GB2312" w:eastAsia="仿宋_GB2312" w:hAnsi="仿宋" w:cs="宋体" w:hint="eastAsia"/>
                <w:b/>
                <w:color w:val="000000" w:themeColor="text1"/>
                <w:kern w:val="0"/>
                <w:sz w:val="20"/>
                <w:szCs w:val="20"/>
              </w:rPr>
              <w:t>绩效评价</w:t>
            </w:r>
          </w:p>
        </w:tc>
      </w:tr>
      <w:tr w:rsidR="006D0A44" w:rsidRPr="005F3625" w:rsidTr="007D577B">
        <w:trPr>
          <w:trHeight w:hRule="exact" w:val="507"/>
          <w:tblHeader/>
        </w:trPr>
        <w:tc>
          <w:tcPr>
            <w:tcW w:w="1467"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执行</w:t>
            </w:r>
            <w:r w:rsidR="004230BB" w:rsidRPr="005F3625">
              <w:rPr>
                <w:rFonts w:ascii="仿宋_GB2312" w:eastAsia="仿宋_GB2312" w:hAnsi="仿宋" w:cs="宋体" w:hint="eastAsia"/>
                <w:color w:val="000000" w:themeColor="text1"/>
                <w:kern w:val="0"/>
                <w:sz w:val="20"/>
                <w:szCs w:val="20"/>
              </w:rPr>
              <w:t>指标</w:t>
            </w:r>
          </w:p>
        </w:tc>
        <w:tc>
          <w:tcPr>
            <w:tcW w:w="1719"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1</w:t>
            </w:r>
            <w:r w:rsidR="004230BB" w:rsidRPr="005F3625">
              <w:rPr>
                <w:rFonts w:ascii="仿宋_GB2312" w:eastAsia="仿宋_GB2312" w:hAnsi="仿宋" w:cs="宋体" w:hint="eastAsia"/>
                <w:color w:val="000000" w:themeColor="text1"/>
                <w:kern w:val="0"/>
                <w:sz w:val="20"/>
                <w:szCs w:val="20"/>
              </w:rPr>
              <w:t>0%</w:t>
            </w:r>
          </w:p>
        </w:tc>
        <w:tc>
          <w:tcPr>
            <w:tcW w:w="1719"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1</w:t>
            </w:r>
            <w:r w:rsidR="004230BB" w:rsidRPr="005F3625">
              <w:rPr>
                <w:rFonts w:ascii="仿宋_GB2312" w:eastAsia="仿宋_GB2312" w:hAnsi="仿宋" w:cs="宋体" w:hint="eastAsia"/>
                <w:color w:val="000000" w:themeColor="text1"/>
                <w:kern w:val="0"/>
                <w:sz w:val="20"/>
                <w:szCs w:val="20"/>
              </w:rPr>
              <w:t>0</w:t>
            </w:r>
          </w:p>
        </w:tc>
        <w:tc>
          <w:tcPr>
            <w:tcW w:w="1387"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1</w:t>
            </w:r>
            <w:r w:rsidR="004230BB" w:rsidRPr="005F3625">
              <w:rPr>
                <w:rFonts w:ascii="仿宋_GB2312" w:eastAsia="仿宋_GB2312" w:hAnsi="仿宋" w:cs="宋体" w:hint="eastAsia"/>
                <w:color w:val="000000" w:themeColor="text1"/>
                <w:kern w:val="0"/>
                <w:sz w:val="20"/>
                <w:szCs w:val="20"/>
              </w:rPr>
              <w:t>0</w:t>
            </w:r>
          </w:p>
        </w:tc>
        <w:tc>
          <w:tcPr>
            <w:tcW w:w="2053"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优</w:t>
            </w:r>
          </w:p>
        </w:tc>
      </w:tr>
      <w:tr w:rsidR="006D0A44" w:rsidRPr="005F3625" w:rsidTr="007D577B">
        <w:trPr>
          <w:trHeight w:hRule="exact" w:val="486"/>
        </w:trPr>
        <w:tc>
          <w:tcPr>
            <w:tcW w:w="1467"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成本</w:t>
            </w:r>
            <w:r w:rsidR="004230BB" w:rsidRPr="005F3625">
              <w:rPr>
                <w:rFonts w:ascii="仿宋_GB2312" w:eastAsia="仿宋_GB2312" w:hAnsi="仿宋" w:cs="宋体" w:hint="eastAsia"/>
                <w:color w:val="000000" w:themeColor="text1"/>
                <w:kern w:val="0"/>
                <w:sz w:val="20"/>
                <w:szCs w:val="20"/>
              </w:rPr>
              <w:t>指标</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138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2053" w:type="dxa"/>
            <w:vAlign w:val="center"/>
          </w:tcPr>
          <w:p w:rsidR="006D0A44" w:rsidRPr="005F3625" w:rsidRDefault="004230BB" w:rsidP="007D577B">
            <w:pPr>
              <w:widowControl/>
              <w:spacing w:line="560" w:lineRule="exact"/>
              <w:jc w:val="center"/>
              <w:rPr>
                <w:rFonts w:ascii="楷体_GB2312" w:eastAsia="楷体_GB2312" w:hAnsi="宋体" w:cs="宋体"/>
                <w:color w:val="000000" w:themeColor="text1"/>
                <w:kern w:val="0"/>
                <w:sz w:val="20"/>
                <w:szCs w:val="20"/>
              </w:rPr>
            </w:pPr>
            <w:r w:rsidRPr="005F3625">
              <w:rPr>
                <w:rFonts w:ascii="楷体_GB2312" w:eastAsia="楷体_GB2312" w:hAnsi="宋体" w:cs="宋体" w:hint="eastAsia"/>
                <w:color w:val="000000" w:themeColor="text1"/>
                <w:kern w:val="0"/>
                <w:sz w:val="20"/>
                <w:szCs w:val="20"/>
              </w:rPr>
              <w:t>优</w:t>
            </w:r>
          </w:p>
        </w:tc>
      </w:tr>
      <w:tr w:rsidR="006D0A44" w:rsidRPr="005F3625" w:rsidTr="007D577B">
        <w:trPr>
          <w:trHeight w:hRule="exact" w:val="462"/>
        </w:trPr>
        <w:tc>
          <w:tcPr>
            <w:tcW w:w="146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产出指标</w:t>
            </w:r>
          </w:p>
        </w:tc>
        <w:tc>
          <w:tcPr>
            <w:tcW w:w="1719"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4</w:t>
            </w:r>
            <w:r w:rsidR="004230BB" w:rsidRPr="005F3625">
              <w:rPr>
                <w:rFonts w:ascii="仿宋_GB2312" w:eastAsia="仿宋_GB2312" w:hAnsi="仿宋" w:cs="宋体" w:hint="eastAsia"/>
                <w:color w:val="000000" w:themeColor="text1"/>
                <w:kern w:val="0"/>
                <w:sz w:val="20"/>
                <w:szCs w:val="20"/>
              </w:rPr>
              <w:t>0%</w:t>
            </w:r>
          </w:p>
        </w:tc>
        <w:tc>
          <w:tcPr>
            <w:tcW w:w="1719"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4</w:t>
            </w:r>
            <w:r w:rsidR="004230BB" w:rsidRPr="005F3625">
              <w:rPr>
                <w:rFonts w:ascii="仿宋_GB2312" w:eastAsia="仿宋_GB2312" w:hAnsi="仿宋" w:cs="宋体" w:hint="eastAsia"/>
                <w:color w:val="000000" w:themeColor="text1"/>
                <w:kern w:val="0"/>
                <w:sz w:val="20"/>
                <w:szCs w:val="20"/>
              </w:rPr>
              <w:t>0</w:t>
            </w:r>
          </w:p>
        </w:tc>
        <w:tc>
          <w:tcPr>
            <w:tcW w:w="1387" w:type="dxa"/>
            <w:vAlign w:val="center"/>
          </w:tcPr>
          <w:p w:rsidR="006D0A44" w:rsidRPr="005F3625" w:rsidRDefault="002C7A6F" w:rsidP="007D577B">
            <w:pPr>
              <w:widowControl/>
              <w:spacing w:line="560" w:lineRule="exact"/>
              <w:jc w:val="center"/>
              <w:rPr>
                <w:rFonts w:ascii="仿宋_GB2312" w:eastAsia="仿宋_GB2312" w:hAnsi="仿宋" w:cs="宋体"/>
                <w:color w:val="000000" w:themeColor="text1"/>
                <w:kern w:val="0"/>
                <w:sz w:val="20"/>
                <w:szCs w:val="20"/>
              </w:rPr>
            </w:pPr>
            <w:r>
              <w:rPr>
                <w:rFonts w:ascii="仿宋_GB2312" w:eastAsia="仿宋_GB2312" w:hAnsi="仿宋" w:cs="宋体" w:hint="eastAsia"/>
                <w:color w:val="000000" w:themeColor="text1"/>
                <w:kern w:val="0"/>
                <w:sz w:val="20"/>
                <w:szCs w:val="20"/>
              </w:rPr>
              <w:t>4</w:t>
            </w:r>
            <w:r w:rsidR="004230BB" w:rsidRPr="005F3625">
              <w:rPr>
                <w:rFonts w:ascii="仿宋_GB2312" w:eastAsia="仿宋_GB2312" w:hAnsi="仿宋" w:cs="宋体" w:hint="eastAsia"/>
                <w:color w:val="000000" w:themeColor="text1"/>
                <w:kern w:val="0"/>
                <w:sz w:val="20"/>
                <w:szCs w:val="20"/>
              </w:rPr>
              <w:t>0</w:t>
            </w:r>
          </w:p>
        </w:tc>
        <w:tc>
          <w:tcPr>
            <w:tcW w:w="2053" w:type="dxa"/>
            <w:vAlign w:val="center"/>
          </w:tcPr>
          <w:p w:rsidR="006D0A44" w:rsidRPr="005F3625" w:rsidRDefault="004230BB" w:rsidP="007D577B">
            <w:pPr>
              <w:widowControl/>
              <w:spacing w:line="560" w:lineRule="exact"/>
              <w:jc w:val="center"/>
              <w:rPr>
                <w:rFonts w:ascii="楷体_GB2312" w:eastAsia="楷体_GB2312" w:hAnsi="宋体" w:cs="宋体"/>
                <w:color w:val="000000" w:themeColor="text1"/>
                <w:kern w:val="0"/>
                <w:sz w:val="20"/>
                <w:szCs w:val="20"/>
              </w:rPr>
            </w:pPr>
            <w:r w:rsidRPr="005F3625">
              <w:rPr>
                <w:rFonts w:ascii="楷体_GB2312" w:eastAsia="楷体_GB2312" w:hAnsi="宋体" w:cs="宋体" w:hint="eastAsia"/>
                <w:color w:val="000000" w:themeColor="text1"/>
                <w:kern w:val="0"/>
                <w:sz w:val="20"/>
                <w:szCs w:val="20"/>
              </w:rPr>
              <w:t>优</w:t>
            </w:r>
          </w:p>
        </w:tc>
      </w:tr>
      <w:tr w:rsidR="006D0A44" w:rsidRPr="005F3625" w:rsidTr="007D577B">
        <w:trPr>
          <w:trHeight w:hRule="exact" w:val="470"/>
        </w:trPr>
        <w:tc>
          <w:tcPr>
            <w:tcW w:w="146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效益指标</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138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20</w:t>
            </w:r>
          </w:p>
        </w:tc>
        <w:tc>
          <w:tcPr>
            <w:tcW w:w="2053" w:type="dxa"/>
            <w:vAlign w:val="center"/>
          </w:tcPr>
          <w:p w:rsidR="006D0A44" w:rsidRPr="005F3625" w:rsidRDefault="004230BB" w:rsidP="007D577B">
            <w:pPr>
              <w:widowControl/>
              <w:spacing w:line="560" w:lineRule="exact"/>
              <w:jc w:val="center"/>
              <w:rPr>
                <w:rFonts w:ascii="楷体_GB2312" w:eastAsia="楷体_GB2312" w:hAnsi="宋体" w:cs="宋体"/>
                <w:color w:val="000000" w:themeColor="text1"/>
                <w:kern w:val="0"/>
                <w:sz w:val="20"/>
                <w:szCs w:val="20"/>
              </w:rPr>
            </w:pPr>
            <w:r w:rsidRPr="005F3625">
              <w:rPr>
                <w:rFonts w:ascii="楷体_GB2312" w:eastAsia="楷体_GB2312" w:hAnsi="宋体" w:cs="宋体" w:hint="eastAsia"/>
                <w:color w:val="000000" w:themeColor="text1"/>
                <w:kern w:val="0"/>
                <w:sz w:val="20"/>
                <w:szCs w:val="20"/>
              </w:rPr>
              <w:t>优</w:t>
            </w:r>
          </w:p>
        </w:tc>
      </w:tr>
      <w:tr w:rsidR="006D0A44" w:rsidRPr="005F3625" w:rsidTr="007D577B">
        <w:trPr>
          <w:trHeight w:hRule="exact" w:val="476"/>
        </w:trPr>
        <w:tc>
          <w:tcPr>
            <w:tcW w:w="146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满意度</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w:t>
            </w:r>
          </w:p>
        </w:tc>
        <w:tc>
          <w:tcPr>
            <w:tcW w:w="138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w:t>
            </w:r>
          </w:p>
        </w:tc>
        <w:tc>
          <w:tcPr>
            <w:tcW w:w="2053" w:type="dxa"/>
            <w:vAlign w:val="center"/>
          </w:tcPr>
          <w:p w:rsidR="006D0A44" w:rsidRPr="005F3625" w:rsidRDefault="004230BB" w:rsidP="007D577B">
            <w:pPr>
              <w:widowControl/>
              <w:spacing w:line="560" w:lineRule="exact"/>
              <w:jc w:val="center"/>
              <w:rPr>
                <w:rFonts w:ascii="楷体_GB2312" w:eastAsia="楷体_GB2312" w:hAnsi="宋体" w:cs="宋体"/>
                <w:color w:val="000000" w:themeColor="text1"/>
                <w:kern w:val="0"/>
                <w:sz w:val="20"/>
                <w:szCs w:val="20"/>
              </w:rPr>
            </w:pPr>
            <w:r w:rsidRPr="005F3625">
              <w:rPr>
                <w:rFonts w:ascii="楷体_GB2312" w:eastAsia="楷体_GB2312" w:hAnsi="宋体" w:cs="宋体" w:hint="eastAsia"/>
                <w:color w:val="000000" w:themeColor="text1"/>
                <w:kern w:val="0"/>
                <w:sz w:val="20"/>
                <w:szCs w:val="20"/>
              </w:rPr>
              <w:t>优</w:t>
            </w:r>
          </w:p>
        </w:tc>
      </w:tr>
      <w:tr w:rsidR="006D0A44" w:rsidRPr="005F3625" w:rsidTr="007D577B">
        <w:trPr>
          <w:trHeight w:hRule="exact" w:val="507"/>
        </w:trPr>
        <w:tc>
          <w:tcPr>
            <w:tcW w:w="146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综合绩效</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100%</w:t>
            </w:r>
          </w:p>
        </w:tc>
        <w:tc>
          <w:tcPr>
            <w:tcW w:w="1719"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100</w:t>
            </w:r>
          </w:p>
        </w:tc>
        <w:tc>
          <w:tcPr>
            <w:tcW w:w="1387" w:type="dxa"/>
            <w:vAlign w:val="center"/>
          </w:tcPr>
          <w:p w:rsidR="006D0A44" w:rsidRPr="005F3625" w:rsidRDefault="004230BB" w:rsidP="007D577B">
            <w:pPr>
              <w:widowControl/>
              <w:spacing w:line="560" w:lineRule="exact"/>
              <w:jc w:val="center"/>
              <w:rPr>
                <w:rFonts w:ascii="仿宋_GB2312" w:eastAsia="仿宋_GB2312" w:hAnsi="仿宋" w:cs="宋体"/>
                <w:color w:val="000000" w:themeColor="text1"/>
                <w:kern w:val="0"/>
                <w:sz w:val="20"/>
                <w:szCs w:val="20"/>
              </w:rPr>
            </w:pPr>
            <w:r w:rsidRPr="005F3625">
              <w:rPr>
                <w:rFonts w:ascii="仿宋_GB2312" w:eastAsia="仿宋_GB2312" w:hAnsi="仿宋" w:cs="宋体" w:hint="eastAsia"/>
                <w:color w:val="000000" w:themeColor="text1"/>
                <w:kern w:val="0"/>
                <w:sz w:val="20"/>
                <w:szCs w:val="20"/>
              </w:rPr>
              <w:t>100</w:t>
            </w:r>
          </w:p>
        </w:tc>
        <w:tc>
          <w:tcPr>
            <w:tcW w:w="2053" w:type="dxa"/>
            <w:vAlign w:val="center"/>
          </w:tcPr>
          <w:p w:rsidR="006D0A44" w:rsidRPr="005F3625" w:rsidRDefault="004230BB" w:rsidP="007D577B">
            <w:pPr>
              <w:widowControl/>
              <w:spacing w:line="560" w:lineRule="exact"/>
              <w:jc w:val="center"/>
              <w:rPr>
                <w:rFonts w:ascii="楷体_GB2312" w:eastAsia="楷体_GB2312" w:hAnsi="宋体" w:cs="宋体"/>
                <w:color w:val="000000" w:themeColor="text1"/>
                <w:kern w:val="0"/>
                <w:sz w:val="20"/>
                <w:szCs w:val="20"/>
              </w:rPr>
            </w:pPr>
            <w:r w:rsidRPr="005F3625">
              <w:rPr>
                <w:rFonts w:ascii="楷体_GB2312" w:eastAsia="楷体_GB2312" w:hAnsi="宋体" w:cs="宋体" w:hint="eastAsia"/>
                <w:color w:val="000000" w:themeColor="text1"/>
                <w:kern w:val="0"/>
                <w:sz w:val="20"/>
                <w:szCs w:val="20"/>
              </w:rPr>
              <w:t>优</w:t>
            </w:r>
          </w:p>
        </w:tc>
      </w:tr>
    </w:tbl>
    <w:p w:rsidR="006D0A44" w:rsidRPr="005F3625" w:rsidRDefault="004230BB">
      <w:pPr>
        <w:spacing w:line="560" w:lineRule="exact"/>
        <w:ind w:firstLineChars="200" w:firstLine="643"/>
        <w:rPr>
          <w:rFonts w:ascii="仿宋_GB2312" w:eastAsia="仿宋_GB2312" w:hAnsi="仿宋"/>
          <w:b/>
          <w:color w:val="000000" w:themeColor="text1"/>
          <w:sz w:val="32"/>
          <w:szCs w:val="32"/>
        </w:rPr>
      </w:pPr>
      <w:r w:rsidRPr="005F3625">
        <w:rPr>
          <w:rFonts w:ascii="仿宋_GB2312" w:eastAsia="仿宋_GB2312" w:hAnsi="仿宋" w:hint="eastAsia"/>
          <w:b/>
          <w:color w:val="000000" w:themeColor="text1"/>
          <w:sz w:val="32"/>
          <w:szCs w:val="32"/>
        </w:rPr>
        <w:t>2、主要结论</w:t>
      </w:r>
    </w:p>
    <w:p w:rsidR="006D0A44" w:rsidRPr="005F3625" w:rsidRDefault="004230BB">
      <w:pPr>
        <w:spacing w:line="560" w:lineRule="exact"/>
        <w:ind w:firstLineChars="200" w:firstLine="640"/>
        <w:rPr>
          <w:rFonts w:ascii="仿宋_GB2312" w:eastAsia="仿宋_GB2312" w:hAnsi="仿宋"/>
          <w:color w:val="000000" w:themeColor="text1"/>
          <w:sz w:val="32"/>
          <w:szCs w:val="32"/>
        </w:rPr>
      </w:pPr>
      <w:r w:rsidRPr="005F3625">
        <w:rPr>
          <w:rFonts w:ascii="仿宋_GB2312" w:eastAsia="仿宋_GB2312" w:hAnsi="仿宋" w:hint="eastAsia"/>
          <w:color w:val="000000" w:themeColor="text1"/>
          <w:sz w:val="32"/>
          <w:szCs w:val="32"/>
        </w:rPr>
        <w:t>本次项目绩效评价为“优”。本项目按国家法律法规政策要求实施，项目管理有效，产出优良,社会效益明显,满意度较高，项目建设形成了可持续的影响。项目实施达到了确保全区</w:t>
      </w:r>
      <w:r w:rsidR="002C7A6F">
        <w:rPr>
          <w:rFonts w:ascii="仿宋_GB2312" w:eastAsia="仿宋_GB2312" w:hAnsi="仿宋" w:hint="eastAsia"/>
          <w:color w:val="000000" w:themeColor="text1"/>
          <w:sz w:val="32"/>
          <w:szCs w:val="32"/>
        </w:rPr>
        <w:t>普法宣传</w:t>
      </w:r>
      <w:r w:rsidRPr="005F3625">
        <w:rPr>
          <w:rFonts w:ascii="仿宋_GB2312" w:eastAsia="仿宋_GB2312" w:hAnsi="仿宋" w:hint="eastAsia"/>
          <w:color w:val="000000" w:themeColor="text1"/>
          <w:sz w:val="32"/>
          <w:szCs w:val="32"/>
        </w:rPr>
        <w:t>工作正常运行，实现社会安定和谐的目标。</w:t>
      </w:r>
    </w:p>
    <w:p w:rsidR="006D0A44" w:rsidRPr="005F3625" w:rsidRDefault="004230BB">
      <w:pPr>
        <w:spacing w:line="560" w:lineRule="exact"/>
        <w:ind w:firstLineChars="200" w:firstLine="640"/>
        <w:rPr>
          <w:rFonts w:ascii="黑体" w:eastAsia="黑体" w:hAnsi="黑体"/>
          <w:color w:val="000000" w:themeColor="text1"/>
          <w:sz w:val="32"/>
          <w:szCs w:val="32"/>
        </w:rPr>
      </w:pPr>
      <w:r w:rsidRPr="005F3625">
        <w:rPr>
          <w:rFonts w:ascii="黑体" w:eastAsia="黑体" w:hAnsi="黑体" w:hint="eastAsia"/>
          <w:color w:val="000000" w:themeColor="text1"/>
          <w:sz w:val="32"/>
          <w:szCs w:val="32"/>
        </w:rPr>
        <w:t>主要经验及做法</w:t>
      </w:r>
    </w:p>
    <w:p w:rsidR="006D0A44" w:rsidRPr="005F3625" w:rsidRDefault="004230BB">
      <w:pPr>
        <w:pStyle w:val="a7"/>
        <w:spacing w:before="0" w:line="560" w:lineRule="exact"/>
        <w:ind w:firstLineChars="200" w:firstLine="643"/>
        <w:rPr>
          <w:rFonts w:ascii="仿宋_GB2312" w:eastAsia="仿宋_GB2312" w:hAnsi="仿宋_GB2312" w:cs="仿宋_GB2312"/>
          <w:b w:val="0"/>
          <w:bCs w:val="0"/>
          <w:color w:val="000000" w:themeColor="text1"/>
          <w:sz w:val="32"/>
          <w:szCs w:val="32"/>
        </w:rPr>
      </w:pPr>
      <w:r w:rsidRPr="005F3625">
        <w:rPr>
          <w:rFonts w:ascii="仿宋_GB2312" w:eastAsia="仿宋_GB2312" w:hAnsi="仿宋_GB2312" w:cs="仿宋_GB2312" w:hint="eastAsia"/>
          <w:color w:val="000000" w:themeColor="text1"/>
          <w:sz w:val="32"/>
          <w:szCs w:val="32"/>
        </w:rPr>
        <w:t>1.深入学习贯彻习近平法治思想。</w:t>
      </w:r>
      <w:r w:rsidRPr="005F3625">
        <w:rPr>
          <w:rFonts w:ascii="仿宋_GB2312" w:eastAsia="仿宋_GB2312" w:hAnsi="仿宋_GB2312" w:cs="仿宋_GB2312" w:hint="eastAsia"/>
          <w:b w:val="0"/>
          <w:bCs w:val="0"/>
          <w:color w:val="000000" w:themeColor="text1"/>
          <w:sz w:val="32"/>
          <w:szCs w:val="32"/>
        </w:rPr>
        <w:t>制定并印发《2024年全区普法依法治理工作要点》，把学习宣传贯彻党的二十大精神和二十届二中全会精神作为首要政治任务。对照《渝水区领导干部应知应会党内法规和国家法律清单》（渝法办字〔2023〕11号），分层分级编制领导干部应知应会党内法规和国家法律清单。将习近平法治思想列入领导干部任前法律知识考试重点考察内容，今年组织3次共17人参与考试。切实提高领导干部学法、用法能力。结合“八五”普法规划，创新开展“量时、量需、量地、量情”为主的“订单式”+“菜单式”普法模式，印发《渝水区开展“量时、量需、量地、量情”订单式普法实施方案》。根据“下单”—“配单”</w:t>
      </w:r>
      <w:r w:rsidRPr="005F3625">
        <w:rPr>
          <w:rFonts w:ascii="仿宋_GB2312" w:eastAsia="仿宋_GB2312" w:hAnsi="仿宋_GB2312" w:cs="仿宋_GB2312" w:hint="eastAsia"/>
          <w:b w:val="0"/>
          <w:bCs w:val="0"/>
          <w:color w:val="000000" w:themeColor="text1"/>
          <w:sz w:val="32"/>
          <w:szCs w:val="32"/>
        </w:rPr>
        <w:lastRenderedPageBreak/>
        <w:t>—“跟单”—“反馈”程序实行精准普法，该措施的推出，将不断优化我区普法服务质效，增强普法效果。</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2.持续贯彻落实“八五”普法规划。</w:t>
      </w:r>
      <w:r w:rsidRPr="005F3625">
        <w:rPr>
          <w:rFonts w:ascii="仿宋_GB2312" w:eastAsia="仿宋_GB2312" w:hAnsi="仿宋_GB2312" w:cs="仿宋_GB2312" w:hint="eastAsia"/>
          <w:color w:val="000000" w:themeColor="text1"/>
          <w:sz w:val="32"/>
          <w:szCs w:val="32"/>
        </w:rPr>
        <w:t>积极开展“平安建设”集中宣传月活动，深入推进平安新余、法治新余建设，不断提升公众安全感和我区司法行政系统满意度；深入开展“筑牢国家安全人民防线，护航精彩渝水安全发展”主题宣传教育活动，提高国家安全知识的知晓率和普及率，提升了民众的国家安全意识和法治意识；全面加大民法典宣传力度，全区共开展“美好生活 民法典相伴”主题宣传活动80余场次，宣讲民法典课20余堂，为企业宣讲民法典，优化法治化营商环境。</w:t>
      </w:r>
    </w:p>
    <w:p w:rsidR="006D0A44" w:rsidRPr="005F3625" w:rsidRDefault="004230BB">
      <w:pPr>
        <w:autoSpaceDE w:val="0"/>
        <w:autoSpaceDN w:val="0"/>
        <w:adjustRightInd w:val="0"/>
        <w:snapToGrid w:val="0"/>
        <w:spacing w:line="560" w:lineRule="exact"/>
        <w:ind w:firstLineChars="200" w:firstLine="643"/>
        <w:textAlignment w:val="baseline"/>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3.深化“法律明白人”培养工程。</w:t>
      </w:r>
      <w:r w:rsidRPr="005F3625">
        <w:rPr>
          <w:rFonts w:ascii="仿宋_GB2312" w:eastAsia="仿宋_GB2312" w:hAnsi="仿宋_GB2312" w:cs="仿宋_GB2312" w:hint="eastAsia"/>
          <w:color w:val="000000" w:themeColor="text1"/>
          <w:sz w:val="32"/>
          <w:szCs w:val="32"/>
        </w:rPr>
        <w:t>积极开展“法律明白人”培训班，3月，区司法局会同区委组织部、区委党校联合举办村两委干部暨“法律明白人”骨干培训班，培训时间共计3天，共有182名村两委干部暨“法律明白人”骨干参加培训，提升“法律明白人”培养质效。在第二届全省十佳百优“法律明白人”中，我区罗坊镇东边村委书记宋卫保，入选</w:t>
      </w:r>
      <w:proofErr w:type="gramStart"/>
      <w:r w:rsidRPr="005F3625">
        <w:rPr>
          <w:rFonts w:ascii="仿宋_GB2312" w:eastAsia="仿宋_GB2312" w:hAnsi="仿宋_GB2312" w:cs="仿宋_GB2312" w:hint="eastAsia"/>
          <w:color w:val="000000" w:themeColor="text1"/>
          <w:sz w:val="32"/>
          <w:szCs w:val="32"/>
        </w:rPr>
        <w:t>省级百</w:t>
      </w:r>
      <w:proofErr w:type="gramEnd"/>
      <w:r w:rsidRPr="005F3625">
        <w:rPr>
          <w:rFonts w:ascii="仿宋_GB2312" w:eastAsia="仿宋_GB2312" w:hAnsi="仿宋_GB2312" w:cs="仿宋_GB2312" w:hint="eastAsia"/>
          <w:color w:val="000000" w:themeColor="text1"/>
          <w:sz w:val="32"/>
          <w:szCs w:val="32"/>
        </w:rPr>
        <w:t>优“法律明白人”。</w:t>
      </w:r>
    </w:p>
    <w:p w:rsidR="006D0A44" w:rsidRPr="005F3625" w:rsidRDefault="004230BB">
      <w:pPr>
        <w:pStyle w:val="2"/>
        <w:spacing w:after="0" w:line="560" w:lineRule="exact"/>
        <w:ind w:leftChars="0" w:left="0" w:firstLine="643"/>
        <w:rPr>
          <w:rFonts w:ascii="仿宋_GB2312" w:eastAsia="仿宋_GB2312" w:hAnsi="仿宋"/>
          <w:color w:val="000000" w:themeColor="text1"/>
          <w:sz w:val="32"/>
          <w:szCs w:val="32"/>
        </w:rPr>
      </w:pPr>
      <w:r w:rsidRPr="005F3625">
        <w:rPr>
          <w:rFonts w:ascii="仿宋_GB2312" w:eastAsia="仿宋_GB2312" w:hAnsi="仿宋_GB2312" w:cs="仿宋_GB2312" w:hint="eastAsia"/>
          <w:b/>
          <w:bCs/>
          <w:color w:val="000000" w:themeColor="text1"/>
          <w:sz w:val="32"/>
          <w:szCs w:val="32"/>
        </w:rPr>
        <w:t>4.加强法治乡村建设。</w:t>
      </w:r>
      <w:r w:rsidRPr="005F3625">
        <w:rPr>
          <w:rFonts w:ascii="仿宋_GB2312" w:eastAsia="仿宋_GB2312" w:hAnsi="仿宋_GB2312" w:cs="仿宋_GB2312" w:hint="eastAsia"/>
          <w:color w:val="000000" w:themeColor="text1"/>
          <w:sz w:val="32"/>
          <w:szCs w:val="32"/>
        </w:rPr>
        <w:t>做好第十批“全国民主法治示范村（社区）”、第八批“全省民主法治示范村（社区）”、第七批“全市民主法治示范村（社区）”推荐报送工作将民主法治示范村（社区）与“法律明白人”示范社区建设相结合，新钢街道路东社区、城南</w:t>
      </w:r>
      <w:proofErr w:type="gramStart"/>
      <w:r w:rsidRPr="005F3625">
        <w:rPr>
          <w:rFonts w:ascii="仿宋_GB2312" w:eastAsia="仿宋_GB2312" w:hAnsi="仿宋_GB2312" w:cs="仿宋_GB2312" w:hint="eastAsia"/>
          <w:color w:val="000000" w:themeColor="text1"/>
          <w:sz w:val="32"/>
          <w:szCs w:val="32"/>
        </w:rPr>
        <w:t>街道双</w:t>
      </w:r>
      <w:proofErr w:type="gramEnd"/>
      <w:r w:rsidRPr="005F3625">
        <w:rPr>
          <w:rFonts w:ascii="仿宋_GB2312" w:eastAsia="仿宋_GB2312" w:hAnsi="仿宋_GB2312" w:cs="仿宋_GB2312" w:hint="eastAsia"/>
          <w:color w:val="000000" w:themeColor="text1"/>
          <w:sz w:val="32"/>
          <w:szCs w:val="32"/>
        </w:rPr>
        <w:t>凤楼社区、孔</w:t>
      </w:r>
      <w:proofErr w:type="gramStart"/>
      <w:r w:rsidRPr="005F3625">
        <w:rPr>
          <w:rFonts w:ascii="仿宋_GB2312" w:eastAsia="仿宋_GB2312" w:hAnsi="仿宋_GB2312" w:cs="仿宋_GB2312" w:hint="eastAsia"/>
          <w:color w:val="000000" w:themeColor="text1"/>
          <w:sz w:val="32"/>
          <w:szCs w:val="32"/>
        </w:rPr>
        <w:t>目江街道</w:t>
      </w:r>
      <w:proofErr w:type="gramEnd"/>
      <w:r w:rsidRPr="005F3625">
        <w:rPr>
          <w:rFonts w:ascii="仿宋_GB2312" w:eastAsia="仿宋_GB2312" w:hAnsi="仿宋_GB2312" w:cs="仿宋_GB2312" w:hint="eastAsia"/>
          <w:color w:val="000000" w:themeColor="text1"/>
          <w:sz w:val="32"/>
          <w:szCs w:val="32"/>
        </w:rPr>
        <w:t>新苑社区等均已打造完毕。珠</w:t>
      </w:r>
      <w:proofErr w:type="gramStart"/>
      <w:r w:rsidRPr="005F3625">
        <w:rPr>
          <w:rFonts w:ascii="仿宋_GB2312" w:eastAsia="仿宋_GB2312" w:hAnsi="仿宋_GB2312" w:cs="仿宋_GB2312" w:hint="eastAsia"/>
          <w:color w:val="000000" w:themeColor="text1"/>
          <w:sz w:val="32"/>
          <w:szCs w:val="32"/>
        </w:rPr>
        <w:t>珊</w:t>
      </w:r>
      <w:proofErr w:type="gramEnd"/>
      <w:r w:rsidRPr="005F3625">
        <w:rPr>
          <w:rFonts w:ascii="仿宋_GB2312" w:eastAsia="仿宋_GB2312" w:hAnsi="仿宋_GB2312" w:cs="仿宋_GB2312" w:hint="eastAsia"/>
          <w:color w:val="000000" w:themeColor="text1"/>
          <w:sz w:val="32"/>
          <w:szCs w:val="32"/>
        </w:rPr>
        <w:t>镇洲下村、良山镇周宇社区、</w:t>
      </w:r>
      <w:r w:rsidRPr="005F3625">
        <w:rPr>
          <w:rFonts w:ascii="仿宋_GB2312" w:eastAsia="仿宋_GB2312" w:hAnsi="仿宋_GB2312" w:cs="仿宋_GB2312" w:hint="eastAsia"/>
          <w:color w:val="000000" w:themeColor="text1"/>
          <w:sz w:val="32"/>
          <w:szCs w:val="32"/>
        </w:rPr>
        <w:lastRenderedPageBreak/>
        <w:t>孔</w:t>
      </w:r>
      <w:proofErr w:type="gramStart"/>
      <w:r w:rsidRPr="005F3625">
        <w:rPr>
          <w:rFonts w:ascii="仿宋_GB2312" w:eastAsia="仿宋_GB2312" w:hAnsi="仿宋_GB2312" w:cs="仿宋_GB2312" w:hint="eastAsia"/>
          <w:color w:val="000000" w:themeColor="text1"/>
          <w:sz w:val="32"/>
          <w:szCs w:val="32"/>
        </w:rPr>
        <w:t>目江办暨</w:t>
      </w:r>
      <w:proofErr w:type="gramEnd"/>
      <w:r w:rsidRPr="005F3625">
        <w:rPr>
          <w:rFonts w:ascii="仿宋_GB2312" w:eastAsia="仿宋_GB2312" w:hAnsi="仿宋_GB2312" w:cs="仿宋_GB2312" w:hint="eastAsia"/>
          <w:color w:val="000000" w:themeColor="text1"/>
          <w:sz w:val="32"/>
          <w:szCs w:val="32"/>
        </w:rPr>
        <w:t>阳社区等正在积极打造。今年1月，下村</w:t>
      </w:r>
      <w:proofErr w:type="gramStart"/>
      <w:r w:rsidRPr="005F3625">
        <w:rPr>
          <w:rFonts w:ascii="仿宋_GB2312" w:eastAsia="仿宋_GB2312" w:hAnsi="仿宋_GB2312" w:cs="仿宋_GB2312" w:hint="eastAsia"/>
          <w:color w:val="000000" w:themeColor="text1"/>
          <w:sz w:val="32"/>
          <w:szCs w:val="32"/>
        </w:rPr>
        <w:t>甘秀埠</w:t>
      </w:r>
      <w:proofErr w:type="gramEnd"/>
      <w:r w:rsidRPr="005F3625">
        <w:rPr>
          <w:rFonts w:ascii="仿宋_GB2312" w:eastAsia="仿宋_GB2312" w:hAnsi="仿宋_GB2312" w:cs="仿宋_GB2312" w:hint="eastAsia"/>
          <w:color w:val="000000" w:themeColor="text1"/>
          <w:sz w:val="32"/>
          <w:szCs w:val="32"/>
        </w:rPr>
        <w:t>村、罗坊东边村、珠</w:t>
      </w:r>
      <w:proofErr w:type="gramStart"/>
      <w:r w:rsidRPr="005F3625">
        <w:rPr>
          <w:rFonts w:ascii="仿宋_GB2312" w:eastAsia="仿宋_GB2312" w:hAnsi="仿宋_GB2312" w:cs="仿宋_GB2312" w:hint="eastAsia"/>
          <w:color w:val="000000" w:themeColor="text1"/>
          <w:sz w:val="32"/>
          <w:szCs w:val="32"/>
        </w:rPr>
        <w:t>珊</w:t>
      </w:r>
      <w:proofErr w:type="gramEnd"/>
      <w:r w:rsidRPr="005F3625">
        <w:rPr>
          <w:rFonts w:ascii="仿宋_GB2312" w:eastAsia="仿宋_GB2312" w:hAnsi="仿宋_GB2312" w:cs="仿宋_GB2312" w:hint="eastAsia"/>
          <w:color w:val="000000" w:themeColor="text1"/>
          <w:sz w:val="32"/>
          <w:szCs w:val="32"/>
        </w:rPr>
        <w:t>西岸村、南安新生村、下村花堆村等5个村委被命名为第六批新余市民主法治示范村（社区），夯实</w:t>
      </w:r>
      <w:r w:rsidR="002C7A6F">
        <w:rPr>
          <w:rFonts w:ascii="仿宋_GB2312" w:eastAsia="仿宋_GB2312" w:hAnsi="仿宋_GB2312" w:cs="仿宋_GB2312" w:hint="eastAsia"/>
          <w:color w:val="000000" w:themeColor="text1"/>
          <w:sz w:val="32"/>
          <w:szCs w:val="32"/>
        </w:rPr>
        <w:t>普法宣传</w:t>
      </w:r>
      <w:r w:rsidRPr="005F3625">
        <w:rPr>
          <w:rFonts w:ascii="仿宋_GB2312" w:eastAsia="仿宋_GB2312" w:hAnsi="仿宋_GB2312" w:cs="仿宋_GB2312" w:hint="eastAsia"/>
          <w:color w:val="000000" w:themeColor="text1"/>
          <w:sz w:val="32"/>
          <w:szCs w:val="32"/>
        </w:rPr>
        <w:t>基石。</w:t>
      </w:r>
    </w:p>
    <w:p w:rsidR="006D0A44" w:rsidRPr="005F3625" w:rsidRDefault="004230BB">
      <w:pPr>
        <w:spacing w:line="560" w:lineRule="exact"/>
        <w:ind w:firstLineChars="200" w:firstLine="640"/>
        <w:rPr>
          <w:rFonts w:ascii="黑体" w:eastAsia="黑体" w:hAnsi="黑体" w:cs="黑体"/>
          <w:color w:val="000000" w:themeColor="text1"/>
          <w:sz w:val="32"/>
          <w:szCs w:val="32"/>
        </w:rPr>
      </w:pPr>
      <w:r w:rsidRPr="005F3625">
        <w:rPr>
          <w:rFonts w:ascii="黑体" w:eastAsia="黑体" w:hAnsi="黑体" w:cs="黑体" w:hint="eastAsia"/>
          <w:color w:val="000000" w:themeColor="text1"/>
          <w:sz w:val="32"/>
          <w:szCs w:val="32"/>
        </w:rPr>
        <w:t>四、存在的问题与下一步打算</w:t>
      </w:r>
    </w:p>
    <w:p w:rsidR="006D0A44" w:rsidRPr="005F3625" w:rsidRDefault="004230BB">
      <w:pPr>
        <w:spacing w:line="560" w:lineRule="exact"/>
        <w:ind w:firstLineChars="200" w:firstLine="643"/>
        <w:rPr>
          <w:rFonts w:ascii="仿宋_GB2312" w:eastAsia="仿宋_GB2312" w:hAnsi="仿宋_GB2312" w:cs="仿宋_GB2312"/>
          <w:b/>
          <w:bCs/>
          <w:color w:val="000000" w:themeColor="text1"/>
          <w:sz w:val="32"/>
          <w:szCs w:val="32"/>
        </w:rPr>
      </w:pPr>
      <w:r w:rsidRPr="005F3625">
        <w:rPr>
          <w:rFonts w:ascii="仿宋_GB2312" w:eastAsia="仿宋_GB2312" w:hAnsi="仿宋_GB2312" w:cs="仿宋_GB2312" w:hint="eastAsia"/>
          <w:b/>
          <w:bCs/>
          <w:color w:val="000000" w:themeColor="text1"/>
          <w:sz w:val="32"/>
          <w:szCs w:val="32"/>
        </w:rPr>
        <w:t>（一）存在的问题</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部分单位对普法工作重视不够。</w:t>
      </w:r>
      <w:r w:rsidRPr="005F3625">
        <w:rPr>
          <w:rFonts w:ascii="仿宋_GB2312" w:eastAsia="仿宋_GB2312" w:hAnsi="仿宋_GB2312" w:cs="仿宋_GB2312" w:hint="eastAsia"/>
          <w:color w:val="000000" w:themeColor="text1"/>
          <w:sz w:val="32"/>
          <w:szCs w:val="32"/>
        </w:rPr>
        <w:t>一些部门和街道对普法工作在推进依法治区上的重要性认识不足，对普法工作的长期性、基础性认识还不够；少数领导干部运用法治思维和法治方式提升治理能力的水平有待加强；部门与基层的配合不够，未将服务、管理、执法实践与普法有效衔接。</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普法宣传形式不够丰富。</w:t>
      </w:r>
      <w:r w:rsidRPr="005F3625">
        <w:rPr>
          <w:rFonts w:ascii="仿宋_GB2312" w:eastAsia="仿宋_GB2312" w:hAnsi="仿宋_GB2312" w:cs="仿宋_GB2312" w:hint="eastAsia"/>
          <w:color w:val="000000" w:themeColor="text1"/>
          <w:sz w:val="32"/>
          <w:szCs w:val="32"/>
        </w:rPr>
        <w:t>利用新媒体创新开展法治宣传的手段还不够丰富，普法受众有限。普法工作缺乏针对性、互动性和吸引力。</w:t>
      </w:r>
    </w:p>
    <w:p w:rsidR="006D0A44" w:rsidRPr="005F3625" w:rsidRDefault="004230BB">
      <w:pPr>
        <w:spacing w:line="560" w:lineRule="exact"/>
        <w:ind w:firstLineChars="200" w:firstLine="643"/>
        <w:rPr>
          <w:rFonts w:ascii="仿宋_GB2312" w:eastAsia="仿宋_GB2312" w:hAnsi="仿宋_GB2312" w:cs="仿宋_GB2312"/>
          <w:b/>
          <w:bCs/>
          <w:color w:val="000000" w:themeColor="text1"/>
          <w:sz w:val="32"/>
          <w:szCs w:val="32"/>
        </w:rPr>
      </w:pPr>
      <w:r w:rsidRPr="005F3625">
        <w:rPr>
          <w:rFonts w:ascii="仿宋_GB2312" w:eastAsia="仿宋_GB2312" w:hAnsi="仿宋_GB2312" w:cs="仿宋_GB2312" w:hint="eastAsia"/>
          <w:b/>
          <w:bCs/>
          <w:color w:val="000000" w:themeColor="text1"/>
          <w:sz w:val="32"/>
          <w:szCs w:val="32"/>
        </w:rPr>
        <w:t>（二）下一年度工作打算</w:t>
      </w:r>
    </w:p>
    <w:p w:rsidR="006D0A44" w:rsidRPr="005F3625" w:rsidRDefault="004230BB">
      <w:pPr>
        <w:spacing w:line="560" w:lineRule="exact"/>
        <w:ind w:firstLineChars="20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落实好“八五”普法规划。</w:t>
      </w:r>
      <w:r w:rsidRPr="005F3625">
        <w:rPr>
          <w:rFonts w:ascii="仿宋_GB2312" w:eastAsia="仿宋_GB2312" w:hAnsi="仿宋_GB2312" w:cs="仿宋_GB2312" w:hint="eastAsia"/>
          <w:color w:val="000000" w:themeColor="text1"/>
          <w:sz w:val="32"/>
          <w:szCs w:val="32"/>
        </w:rPr>
        <w:t>组织“八五”普法讲师团，对部分乡镇、机关单位进行“三法五条例”宣讲和习近平法治思想宣讲。并做好4.15国家安全日、5.28民法典、宪法宣传周等重要时间节点的宣传工作。</w:t>
      </w:r>
    </w:p>
    <w:p w:rsidR="006D0A44" w:rsidRPr="005F3625" w:rsidRDefault="004230BB">
      <w:pPr>
        <w:pStyle w:val="2"/>
        <w:spacing w:after="0" w:line="560" w:lineRule="exact"/>
        <w:ind w:leftChars="0" w:left="0" w:firstLine="643"/>
        <w:rPr>
          <w:rFonts w:ascii="仿宋_GB2312" w:eastAsia="仿宋_GB2312" w:hAnsi="仿宋_GB2312" w:cs="仿宋_GB2312"/>
          <w:color w:val="000000" w:themeColor="text1"/>
          <w:sz w:val="32"/>
          <w:szCs w:val="32"/>
        </w:rPr>
      </w:pPr>
      <w:r w:rsidRPr="005F3625">
        <w:rPr>
          <w:rFonts w:ascii="仿宋_GB2312" w:eastAsia="仿宋_GB2312" w:hAnsi="仿宋_GB2312" w:cs="仿宋_GB2312" w:hint="eastAsia"/>
          <w:b/>
          <w:bCs/>
          <w:color w:val="000000" w:themeColor="text1"/>
          <w:sz w:val="32"/>
          <w:szCs w:val="32"/>
        </w:rPr>
        <w:t>加强乡村法治文化阵地建设。</w:t>
      </w:r>
      <w:r w:rsidRPr="005F3625">
        <w:rPr>
          <w:rFonts w:ascii="仿宋_GB2312" w:eastAsia="仿宋_GB2312" w:hAnsi="仿宋_GB2312" w:cs="仿宋_GB2312" w:hint="eastAsia"/>
          <w:color w:val="000000" w:themeColor="text1"/>
          <w:sz w:val="32"/>
          <w:szCs w:val="32"/>
        </w:rPr>
        <w:t>加强民主法治示范村（社区）创建工作、法律明白人示范社区创建工作动态管理，将法治元素融入乡村治理。</w:t>
      </w:r>
    </w:p>
    <w:p w:rsidR="005F3625" w:rsidRPr="002D54B3" w:rsidRDefault="005F3625" w:rsidP="005F3625">
      <w:pPr>
        <w:rPr>
          <w:color w:val="000000" w:themeColor="text1"/>
        </w:rPr>
      </w:pPr>
    </w:p>
    <w:sectPr w:rsidR="005F3625" w:rsidRPr="002D54B3" w:rsidSect="006D0A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3C9" w:rsidRDefault="009553C9" w:rsidP="007D577B">
      <w:r>
        <w:separator/>
      </w:r>
    </w:p>
  </w:endnote>
  <w:endnote w:type="continuationSeparator" w:id="0">
    <w:p w:rsidR="009553C9" w:rsidRDefault="009553C9" w:rsidP="007D5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3C9" w:rsidRDefault="009553C9" w:rsidP="007D577B">
      <w:r>
        <w:separator/>
      </w:r>
    </w:p>
  </w:footnote>
  <w:footnote w:type="continuationSeparator" w:id="0">
    <w:p w:rsidR="009553C9" w:rsidRDefault="009553C9" w:rsidP="007D5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50BB67"/>
    <w:multiLevelType w:val="singleLevel"/>
    <w:tmpl w:val="DB50BB6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D0A44"/>
    <w:rsid w:val="001652FC"/>
    <w:rsid w:val="002C7A6F"/>
    <w:rsid w:val="002D54B3"/>
    <w:rsid w:val="004230BB"/>
    <w:rsid w:val="005D66D1"/>
    <w:rsid w:val="005F3625"/>
    <w:rsid w:val="006D0A44"/>
    <w:rsid w:val="007D1238"/>
    <w:rsid w:val="007D577B"/>
    <w:rsid w:val="009553C9"/>
    <w:rsid w:val="0BD7795F"/>
    <w:rsid w:val="0C56163D"/>
    <w:rsid w:val="227621B8"/>
    <w:rsid w:val="2A623FA0"/>
    <w:rsid w:val="3659703F"/>
    <w:rsid w:val="3A1F234D"/>
    <w:rsid w:val="4492209A"/>
    <w:rsid w:val="4AD74AC3"/>
    <w:rsid w:val="6109328C"/>
    <w:rsid w:val="61FB0E26"/>
    <w:rsid w:val="66F26570"/>
    <w:rsid w:val="6D956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oa heading" w:qFormat="1"/>
    <w:lsdException w:name="Title" w:qFormat="1"/>
    <w:lsdException w:name="Default Paragraph Font" w:semiHidden="1"/>
    <w:lsdException w:name="Body Text" w:uiPriority="99" w:qFormat="1"/>
    <w:lsdException w:name="Body Text Indent" w:qFormat="1"/>
    <w:lsdException w:name="Subtitle" w:qFormat="1"/>
    <w:lsdException w:name="Body Text First Indent"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D0A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6D0A44"/>
    <w:pPr>
      <w:ind w:firstLineChars="200" w:firstLine="420"/>
    </w:pPr>
    <w:rPr>
      <w:rFonts w:ascii="Calibri" w:hAnsi="Calibri" w:cs="Calibri"/>
      <w:szCs w:val="21"/>
    </w:rPr>
  </w:style>
  <w:style w:type="paragraph" w:styleId="a3">
    <w:name w:val="Body Text Indent"/>
    <w:basedOn w:val="a"/>
    <w:next w:val="a4"/>
    <w:qFormat/>
    <w:rsid w:val="006D0A44"/>
    <w:pPr>
      <w:spacing w:after="120"/>
      <w:ind w:leftChars="200" w:left="420"/>
    </w:pPr>
  </w:style>
  <w:style w:type="paragraph" w:styleId="a4">
    <w:name w:val="Normal Indent"/>
    <w:basedOn w:val="a"/>
    <w:next w:val="a5"/>
    <w:uiPriority w:val="99"/>
    <w:qFormat/>
    <w:rsid w:val="006D0A44"/>
    <w:pPr>
      <w:ind w:firstLine="420"/>
    </w:pPr>
    <w:rPr>
      <w:szCs w:val="21"/>
    </w:rPr>
  </w:style>
  <w:style w:type="paragraph" w:styleId="a5">
    <w:name w:val="Body Text First Indent"/>
    <w:basedOn w:val="a6"/>
    <w:next w:val="a"/>
    <w:qFormat/>
    <w:rsid w:val="006D0A44"/>
    <w:pPr>
      <w:ind w:firstLineChars="100" w:firstLine="420"/>
    </w:pPr>
  </w:style>
  <w:style w:type="paragraph" w:styleId="a6">
    <w:name w:val="Body Text"/>
    <w:basedOn w:val="a"/>
    <w:next w:val="20"/>
    <w:uiPriority w:val="99"/>
    <w:qFormat/>
    <w:rsid w:val="006D0A44"/>
    <w:rPr>
      <w:rFonts w:eastAsia="仿宋_GB2312"/>
      <w:sz w:val="32"/>
      <w:szCs w:val="32"/>
    </w:rPr>
  </w:style>
  <w:style w:type="paragraph" w:styleId="20">
    <w:name w:val="Body Text 2"/>
    <w:basedOn w:val="a"/>
    <w:qFormat/>
    <w:rsid w:val="006D0A44"/>
    <w:pPr>
      <w:spacing w:after="120" w:line="480" w:lineRule="auto"/>
    </w:pPr>
  </w:style>
  <w:style w:type="paragraph" w:styleId="a7">
    <w:name w:val="toa heading"/>
    <w:basedOn w:val="a"/>
    <w:next w:val="a"/>
    <w:qFormat/>
    <w:rsid w:val="006D0A44"/>
    <w:pPr>
      <w:spacing w:before="120"/>
    </w:pPr>
    <w:rPr>
      <w:rFonts w:ascii="Arial" w:hAnsi="Arial"/>
      <w:b/>
      <w:bCs/>
    </w:rPr>
  </w:style>
  <w:style w:type="paragraph" w:customStyle="1" w:styleId="GB2312552">
    <w:name w:val="样式 样式 (中文) 楷体_GB2312 四号 段前: 5 磅 段后: 5 磅 + 首行缩进:  2 字符"/>
    <w:basedOn w:val="a"/>
    <w:qFormat/>
    <w:rsid w:val="006D0A44"/>
    <w:pPr>
      <w:spacing w:before="100" w:after="100"/>
      <w:ind w:firstLineChars="200" w:firstLine="640"/>
    </w:pPr>
    <w:rPr>
      <w:rFonts w:eastAsia="仿宋_GB2312" w:cs="宋体"/>
      <w:sz w:val="30"/>
      <w:szCs w:val="20"/>
    </w:rPr>
  </w:style>
  <w:style w:type="paragraph" w:styleId="a8">
    <w:name w:val="header"/>
    <w:basedOn w:val="a"/>
    <w:link w:val="Char"/>
    <w:rsid w:val="007D57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7D577B"/>
    <w:rPr>
      <w:kern w:val="2"/>
      <w:sz w:val="18"/>
      <w:szCs w:val="18"/>
    </w:rPr>
  </w:style>
  <w:style w:type="paragraph" w:styleId="a9">
    <w:name w:val="footer"/>
    <w:basedOn w:val="a"/>
    <w:link w:val="Char0"/>
    <w:rsid w:val="007D577B"/>
    <w:pPr>
      <w:tabs>
        <w:tab w:val="center" w:pos="4153"/>
        <w:tab w:val="right" w:pos="8306"/>
      </w:tabs>
      <w:snapToGrid w:val="0"/>
      <w:jc w:val="left"/>
    </w:pPr>
    <w:rPr>
      <w:sz w:val="18"/>
      <w:szCs w:val="18"/>
    </w:rPr>
  </w:style>
  <w:style w:type="character" w:customStyle="1" w:styleId="Char0">
    <w:name w:val="页脚 Char"/>
    <w:basedOn w:val="a0"/>
    <w:link w:val="a9"/>
    <w:rsid w:val="007D57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2025-03-04T02:41:00Z</dcterms:created>
  <dcterms:modified xsi:type="dcterms:W3CDTF">2025-09-29T06:39:00Z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58398D51D2654F749DF55C8228998AE6_12</vt:lpwstr>
  </property>
</Properties>
</file>