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E7C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eastAsia="zh-CN"/>
        </w:rPr>
      </w:pPr>
      <w:bookmarkStart w:id="0" w:name="发文标题"/>
      <w:r>
        <w:rPr>
          <w:rFonts w:hint="eastAsia" w:ascii="方正小标宋简体" w:eastAsia="方正小标宋简体"/>
          <w:sz w:val="44"/>
          <w:szCs w:val="44"/>
          <w:lang w:eastAsia="zh-CN"/>
        </w:rPr>
        <w:t>新余经开区企业分类管理综合评价办法（试行）</w:t>
      </w:r>
      <w:bookmarkEnd w:id="0"/>
    </w:p>
    <w:p w14:paraId="41FCF3AC">
      <w:pPr>
        <w:keepNext w:val="0"/>
        <w:keepLines w:val="0"/>
        <w:pageBreakBefore w:val="0"/>
        <w:widowControl w:val="0"/>
        <w:tabs>
          <w:tab w:val="left" w:pos="7920"/>
        </w:tabs>
        <w:kinsoku/>
        <w:wordWrap/>
        <w:overflowPunct/>
        <w:topLinePunct w:val="0"/>
        <w:autoSpaceDE/>
        <w:autoSpaceDN/>
        <w:bidi w:val="0"/>
        <w:adjustRightInd/>
        <w:snapToGrid/>
        <w:spacing w:line="460" w:lineRule="exact"/>
        <w:ind w:right="0" w:rightChars="0"/>
        <w:jc w:val="center"/>
        <w:textAlignment w:val="auto"/>
        <w:rPr>
          <w:rFonts w:hint="eastAsia" w:ascii="仿宋_GB2312" w:eastAsia="仿宋_GB2312"/>
          <w:sz w:val="32"/>
          <w:szCs w:val="32"/>
          <w:u w:val="none" w:color="FF0000"/>
          <w:lang w:eastAsia="zh-CN"/>
        </w:rPr>
      </w:pPr>
      <w:bookmarkStart w:id="1" w:name="文号"/>
      <w:r>
        <w:rPr>
          <w:rFonts w:hint="eastAsia" w:ascii="仿宋_GB2312" w:eastAsia="仿宋_GB2312"/>
          <w:sz w:val="32"/>
          <w:szCs w:val="32"/>
          <w:u w:val="none" w:color="FF0000"/>
          <w:lang w:eastAsia="zh-CN"/>
        </w:rPr>
        <w:t>余经开字〔2025〕</w:t>
      </w:r>
      <w:r>
        <w:rPr>
          <w:rFonts w:hint="eastAsia" w:ascii="仿宋_GB2312" w:eastAsia="仿宋_GB2312"/>
          <w:sz w:val="32"/>
          <w:szCs w:val="32"/>
          <w:u w:val="none" w:color="FF0000"/>
          <w:lang w:val="en-US" w:eastAsia="zh-CN"/>
        </w:rPr>
        <w:t>72</w:t>
      </w:r>
      <w:r>
        <w:rPr>
          <w:rFonts w:hint="eastAsia" w:ascii="仿宋_GB2312" w:eastAsia="仿宋_GB2312"/>
          <w:sz w:val="32"/>
          <w:szCs w:val="32"/>
          <w:u w:val="none" w:color="FF0000"/>
          <w:lang w:eastAsia="zh-CN"/>
        </w:rPr>
        <w:t>号</w:t>
      </w:r>
      <w:bookmarkEnd w:id="1"/>
    </w:p>
    <w:p w14:paraId="39D51D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eastAsia="zh-CN"/>
        </w:rPr>
      </w:pPr>
    </w:p>
    <w:p w14:paraId="2A157965">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为不断优化园区资源配置，建立科学精准的企业分类管理体系，实现“扶弱强优”的良性循环，提升精准服务水平，特制定本办法。</w:t>
      </w:r>
    </w:p>
    <w:p w14:paraId="561AD2FC">
      <w:pPr>
        <w:spacing w:line="560" w:lineRule="exact"/>
        <w:ind w:firstLine="640" w:firstLineChars="200"/>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一、评价对象</w:t>
      </w:r>
    </w:p>
    <w:p w14:paraId="32F420D0">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（一）评价对象为园区范围内购买土地的工业企业以及租用标准厂房满2年的企业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租用厂房</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面积</w:t>
      </w:r>
      <w:r>
        <w:rPr>
          <w:rFonts w:hint="eastAsia" w:ascii="仿宋_GB2312" w:hAnsi="仿宋_GB2312" w:eastAsia="仿宋_GB2312" w:cs="仿宋_GB2312"/>
          <w:color w:val="auto"/>
          <w:sz w:val="32"/>
          <w:szCs w:val="32"/>
          <w:lang w:val="en-US" w:eastAsia="zh-CN"/>
        </w:rPr>
        <w:t>按每千平方米计算；其他租用园区企业厂房的参照执行。</w:t>
      </w:r>
    </w:p>
    <w:p w14:paraId="3584DFF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（二）依法取得国有土地使用权不满3年，租用标准厂房不满2年，企业转让、兼并重组不满2年的企业</w:t>
      </w:r>
      <w:r>
        <w:rPr>
          <w:rFonts w:hint="eastAsia" w:ascii="仿宋_GB2312" w:hAnsi="仿宋_GB2312" w:eastAsia="仿宋_GB2312" w:cs="仿宋_GB2312"/>
          <w:color w:val="auto"/>
          <w:sz w:val="32"/>
          <w:szCs w:val="32"/>
          <w:lang w:val="en-US" w:eastAsia="zh-CN"/>
        </w:rPr>
        <w:t>按协议约定内容的</w:t>
      </w:r>
      <w:r>
        <w:rPr>
          <w:rFonts w:hint="eastAsia" w:ascii="仿宋_GB2312" w:hAnsi="仿宋_GB2312" w:eastAsia="仿宋_GB2312" w:cs="仿宋_GB2312"/>
          <w:color w:val="auto"/>
          <w:sz w:val="32"/>
          <w:szCs w:val="32"/>
        </w:rPr>
        <w:t>列入评价，可暂缓实施差别化政策。</w:t>
      </w:r>
    </w:p>
    <w:p w14:paraId="5943CB48">
      <w:pPr>
        <w:spacing w:line="560" w:lineRule="exact"/>
        <w:ind w:firstLine="640" w:firstLineChars="200"/>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二、评价指标</w:t>
      </w:r>
    </w:p>
    <w:p w14:paraId="7A4440A2">
      <w:pPr>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1.主要指标。</w:t>
      </w:r>
      <w:r>
        <w:rPr>
          <w:rFonts w:hint="eastAsia" w:ascii="仿宋_GB2312" w:hAnsi="仿宋_GB2312" w:eastAsia="仿宋_GB2312" w:cs="仿宋_GB2312"/>
          <w:color w:val="auto"/>
          <w:sz w:val="32"/>
          <w:szCs w:val="32"/>
        </w:rPr>
        <w:t>总分为100分，分为六个维度：经济贡献占30分（其中：亩均产值15分、亩均税收15分）、社会贡献占5分（其中：就业情况5分）、企业创新占25分（其中：专利情况6分、研发投入占比8分、技术认证和奖项</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分、人才引育</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分）、安全生产占15分、环境保护占15分、其他工作占10分。</w:t>
      </w:r>
    </w:p>
    <w:p w14:paraId="0F1AF4E1">
      <w:pPr>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2.加分指标。</w:t>
      </w:r>
      <w:r>
        <w:rPr>
          <w:rFonts w:hint="eastAsia" w:ascii="仿宋_GB2312" w:hAnsi="仿宋_GB2312" w:eastAsia="仿宋_GB2312" w:cs="仿宋_GB2312"/>
          <w:color w:val="auto"/>
          <w:sz w:val="32"/>
          <w:szCs w:val="32"/>
        </w:rPr>
        <w:t>产值总额、产值增幅、纳税总额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双招双引和</w:t>
      </w:r>
      <w:r>
        <w:rPr>
          <w:rFonts w:hint="eastAsia" w:ascii="仿宋_GB2312" w:hAnsi="仿宋_GB2312" w:eastAsia="仿宋_GB2312" w:cs="仿宋_GB2312"/>
          <w:color w:val="auto"/>
          <w:sz w:val="32"/>
          <w:szCs w:val="32"/>
        </w:rPr>
        <w:t>成功申报市级以上科创平台、瞪羚企业、“小巨人”、独角兽、主板上市等。</w:t>
      </w:r>
    </w:p>
    <w:p w14:paraId="6891A16B">
      <w:pPr>
        <w:spacing w:line="560" w:lineRule="exact"/>
        <w:ind w:firstLine="640" w:firstLineChars="200"/>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三、计分方法</w:t>
      </w:r>
    </w:p>
    <w:p w14:paraId="771DA974">
      <w:pPr>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（一）经济贡献（30分）</w:t>
      </w:r>
    </w:p>
    <w:p w14:paraId="1B92F4D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亩均产值及亩均税收采用功效系数法计分。</w:t>
      </w:r>
    </w:p>
    <w:p w14:paraId="2F8105F2">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1.亩均产值。</w:t>
      </w:r>
      <w:r>
        <w:rPr>
          <w:rFonts w:hint="eastAsia" w:ascii="仿宋_GB2312" w:hAnsi="仿宋_GB2312" w:eastAsia="仿宋_GB2312" w:cs="仿宋_GB2312"/>
          <w:color w:val="auto"/>
          <w:sz w:val="32"/>
          <w:szCs w:val="32"/>
        </w:rPr>
        <w:t>亩均产值=</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rPr>
        <w:t>本年度产值/</w:t>
      </w:r>
      <w:r>
        <w:rPr>
          <w:rFonts w:hint="eastAsia" w:ascii="仿宋_GB2312" w:hAnsi="仿宋_GB2312" w:eastAsia="仿宋_GB2312" w:cs="仿宋_GB2312"/>
          <w:color w:val="auto"/>
          <w:sz w:val="32"/>
          <w:szCs w:val="32"/>
          <w:lang w:val="en-US" w:eastAsia="zh-CN"/>
        </w:rPr>
        <w:t>企业面积</w:t>
      </w:r>
      <w:r>
        <w:rPr>
          <w:rFonts w:hint="eastAsia" w:ascii="仿宋_GB2312" w:hAnsi="仿宋_GB2312" w:eastAsia="仿宋_GB2312" w:cs="仿宋_GB2312"/>
          <w:color w:val="auto"/>
          <w:sz w:val="32"/>
          <w:szCs w:val="32"/>
        </w:rPr>
        <w:t>。（15分）</w:t>
      </w:r>
    </w:p>
    <w:p w14:paraId="6E700655">
      <w:pPr>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2.亩均税收。</w:t>
      </w:r>
      <w:r>
        <w:rPr>
          <w:rFonts w:hint="eastAsia" w:ascii="仿宋_GB2312" w:hAnsi="仿宋_GB2312" w:eastAsia="仿宋_GB2312" w:cs="仿宋_GB2312"/>
          <w:color w:val="auto"/>
          <w:sz w:val="32"/>
          <w:szCs w:val="32"/>
        </w:rPr>
        <w:t>亩均税收=</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rPr>
        <w:t>本年度税收/</w:t>
      </w:r>
      <w:r>
        <w:rPr>
          <w:rFonts w:hint="eastAsia" w:ascii="仿宋_GB2312" w:hAnsi="仿宋_GB2312" w:eastAsia="仿宋_GB2312" w:cs="仿宋_GB2312"/>
          <w:color w:val="auto"/>
          <w:sz w:val="32"/>
          <w:szCs w:val="32"/>
          <w:lang w:val="en-US" w:eastAsia="zh-CN"/>
        </w:rPr>
        <w:t>企业面积</w:t>
      </w:r>
      <w:r>
        <w:rPr>
          <w:rFonts w:hint="eastAsia" w:ascii="仿宋_GB2312" w:hAnsi="仿宋_GB2312" w:eastAsia="仿宋_GB2312" w:cs="仿宋_GB2312"/>
          <w:color w:val="auto"/>
          <w:sz w:val="32"/>
          <w:szCs w:val="32"/>
        </w:rPr>
        <w:t>。（15分）</w:t>
      </w:r>
    </w:p>
    <w:p w14:paraId="7792352E">
      <w:pPr>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（二）社会贡献（5分）</w:t>
      </w:r>
    </w:p>
    <w:p w14:paraId="3193ED80">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1.就业情况。</w:t>
      </w:r>
      <w:r>
        <w:rPr>
          <w:rFonts w:hint="eastAsia" w:ascii="仿宋_GB2312" w:hAnsi="仿宋_GB2312" w:eastAsia="仿宋_GB2312" w:cs="仿宋_GB2312"/>
          <w:color w:val="auto"/>
          <w:sz w:val="32"/>
          <w:szCs w:val="32"/>
        </w:rPr>
        <w:t>当年提供就业岗位低于20个计1分、20-40个计2分、40-80个计3分、80-</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个计</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val="en-US" w:eastAsia="zh-CN"/>
        </w:rPr>
        <w:t>100个以上计</w:t>
      </w:r>
      <w:r>
        <w:rPr>
          <w:rFonts w:hint="eastAsia" w:ascii="仿宋_GB2312" w:hAnsi="仿宋_GB2312" w:eastAsia="仿宋_GB2312" w:cs="仿宋_GB2312"/>
          <w:color w:val="auto"/>
          <w:sz w:val="32"/>
          <w:szCs w:val="32"/>
        </w:rPr>
        <w:t>满分5分。</w:t>
      </w:r>
    </w:p>
    <w:p w14:paraId="352E7FE4">
      <w:pPr>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（三）企业创新（25分）</w:t>
      </w:r>
    </w:p>
    <w:p w14:paraId="61DC66E5">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1.专利情况。</w:t>
      </w:r>
      <w:r>
        <w:rPr>
          <w:rFonts w:hint="eastAsia" w:ascii="仿宋_GB2312" w:hAnsi="仿宋_GB2312" w:eastAsia="仿宋_GB2312" w:cs="仿宋_GB2312"/>
          <w:color w:val="auto"/>
          <w:sz w:val="32"/>
          <w:szCs w:val="32"/>
        </w:rPr>
        <w:t>企业目前拥有及新取得的专利累加计分，持有一项发明专利计3分，持有一项其他专利计1分，当年取得一项发明专利计6分，满分6分。</w:t>
      </w:r>
    </w:p>
    <w:p w14:paraId="330DB3DC">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2.研发投入占比。</w:t>
      </w:r>
      <w:r>
        <w:rPr>
          <w:rFonts w:ascii="仿宋_GB2312" w:hAnsi="仿宋_GB2312" w:eastAsia="仿宋_GB2312" w:cs="仿宋_GB2312"/>
          <w:color w:val="auto"/>
          <w:sz w:val="32"/>
          <w:szCs w:val="32"/>
        </w:rPr>
        <w:t>研发投入占比=当年R&amp;D经费/当年主营业务收入×100%，当年R&amp;D经费</w:t>
      </w:r>
      <w:r>
        <w:rPr>
          <w:rFonts w:hint="eastAsia" w:ascii="仿宋_GB2312" w:hAnsi="仿宋_GB2312" w:eastAsia="仿宋_GB2312" w:cs="仿宋_GB2312"/>
          <w:color w:val="auto"/>
          <w:sz w:val="32"/>
          <w:szCs w:val="32"/>
        </w:rPr>
        <w:t>以企业向税务局申报的研发费用加计扣除金额为准。企业只要有研发费用计0.5分，占比1%-3</w:t>
      </w:r>
      <w:r>
        <w:rPr>
          <w:rFonts w:ascii="仿宋_GB2312" w:hAnsi="仿宋_GB2312" w:eastAsia="仿宋_GB2312" w:cs="仿宋_GB2312"/>
          <w:color w:val="auto"/>
          <w:sz w:val="32"/>
          <w:szCs w:val="32"/>
        </w:rPr>
        <w:t>%计</w:t>
      </w: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5</w:t>
      </w:r>
      <w:r>
        <w:rPr>
          <w:rFonts w:ascii="仿宋_GB2312" w:hAnsi="仿宋_GB2312" w:eastAsia="仿宋_GB2312" w:cs="仿宋_GB2312"/>
          <w:color w:val="auto"/>
          <w:sz w:val="32"/>
          <w:szCs w:val="32"/>
        </w:rPr>
        <w:t>%计</w:t>
      </w:r>
      <w:r>
        <w:rPr>
          <w:rFonts w:hint="eastAsia" w:ascii="仿宋_GB2312" w:hAnsi="仿宋_GB2312" w:eastAsia="仿宋_GB2312" w:cs="仿宋_GB2312"/>
          <w:color w:val="auto"/>
          <w:sz w:val="32"/>
          <w:szCs w:val="32"/>
        </w:rPr>
        <w:t>4</w:t>
      </w:r>
      <w:r>
        <w:rPr>
          <w:rFonts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rPr>
        <w:t>5</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-10%</w:t>
      </w:r>
      <w:r>
        <w:rPr>
          <w:rFonts w:ascii="仿宋_GB2312" w:hAnsi="仿宋_GB2312" w:eastAsia="仿宋_GB2312" w:cs="仿宋_GB2312"/>
          <w:color w:val="auto"/>
          <w:sz w:val="32"/>
          <w:szCs w:val="32"/>
        </w:rPr>
        <w:t>计</w:t>
      </w:r>
      <w:r>
        <w:rPr>
          <w:rFonts w:hint="eastAsia" w:ascii="仿宋_GB2312" w:hAnsi="仿宋_GB2312" w:eastAsia="仿宋_GB2312" w:cs="仿宋_GB2312"/>
          <w:color w:val="auto"/>
          <w:sz w:val="32"/>
          <w:szCs w:val="32"/>
        </w:rPr>
        <w:t>6</w:t>
      </w:r>
      <w:r>
        <w:rPr>
          <w:rFonts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rPr>
        <w:t>10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以上</w:t>
      </w:r>
      <w:r>
        <w:rPr>
          <w:rFonts w:ascii="仿宋_GB2312" w:hAnsi="仿宋_GB2312" w:eastAsia="仿宋_GB2312" w:cs="仿宋_GB2312"/>
          <w:color w:val="auto"/>
          <w:sz w:val="32"/>
          <w:szCs w:val="32"/>
        </w:rPr>
        <w:t>计</w:t>
      </w:r>
      <w:r>
        <w:rPr>
          <w:rFonts w:hint="eastAsia" w:ascii="仿宋_GB2312" w:hAnsi="仿宋_GB2312" w:eastAsia="仿宋_GB2312" w:cs="仿宋_GB2312"/>
          <w:color w:val="auto"/>
          <w:sz w:val="32"/>
          <w:szCs w:val="32"/>
        </w:rPr>
        <w:t>8</w:t>
      </w:r>
      <w:r>
        <w:rPr>
          <w:rFonts w:ascii="仿宋_GB2312" w:hAnsi="仿宋_GB2312" w:eastAsia="仿宋_GB2312" w:cs="仿宋_GB2312"/>
          <w:color w:val="auto"/>
          <w:sz w:val="32"/>
          <w:szCs w:val="32"/>
        </w:rPr>
        <w:t>分，满分8分。</w:t>
      </w:r>
      <w:r>
        <w:rPr>
          <w:rFonts w:hint="eastAsia" w:ascii="仿宋_GB2312" w:hAnsi="仿宋_GB2312" w:eastAsia="仿宋_GB2312" w:cs="仿宋_GB2312"/>
          <w:color w:val="auto"/>
          <w:sz w:val="32"/>
          <w:szCs w:val="32"/>
        </w:rPr>
        <w:t>如</w:t>
      </w:r>
      <w:r>
        <w:rPr>
          <w:rFonts w:ascii="仿宋_GB2312" w:hAnsi="仿宋_GB2312" w:eastAsia="仿宋_GB2312" w:cs="仿宋_GB2312"/>
          <w:color w:val="auto"/>
          <w:sz w:val="32"/>
          <w:szCs w:val="32"/>
        </w:rPr>
        <w:t>规上工业企业研发投入占比低于</w:t>
      </w: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%，不得评为A两类企业。</w:t>
      </w:r>
    </w:p>
    <w:p w14:paraId="5B2BA36F">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3.技术认证。</w:t>
      </w:r>
      <w:r>
        <w:rPr>
          <w:rFonts w:hint="eastAsia" w:ascii="仿宋_GB2312" w:hAnsi="仿宋_GB2312" w:eastAsia="仿宋_GB2312" w:cs="仿宋_GB2312"/>
          <w:color w:val="auto"/>
          <w:sz w:val="32"/>
          <w:szCs w:val="32"/>
        </w:rPr>
        <w:t>获得省级技术认证每项计1分，获得国家级技术认证每项计2分，满分</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分。</w:t>
      </w:r>
    </w:p>
    <w:p w14:paraId="3B84B595">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4.人才引育。</w:t>
      </w:r>
      <w:r>
        <w:rPr>
          <w:rFonts w:hint="eastAsia" w:ascii="仿宋_GB2312" w:hAnsi="仿宋_GB2312" w:eastAsia="仿宋_GB2312" w:cs="仿宋_GB2312"/>
          <w:color w:val="auto"/>
          <w:sz w:val="32"/>
          <w:szCs w:val="32"/>
        </w:rPr>
        <w:t>与高校、科研院所达成合作项目的计2分，企业刚性引进E类</w:t>
      </w:r>
      <w:r>
        <w:rPr>
          <w:rFonts w:hint="eastAsia" w:ascii="仿宋_GB2312" w:hAnsi="仿宋_GB2312" w:eastAsia="仿宋_GB2312" w:cs="仿宋_GB2312"/>
          <w:color w:val="auto"/>
          <w:sz w:val="32"/>
          <w:szCs w:val="32"/>
          <w:lang w:val="en-US" w:eastAsia="zh-CN"/>
        </w:rPr>
        <w:t>人才的</w:t>
      </w:r>
      <w:r>
        <w:rPr>
          <w:rFonts w:hint="eastAsia" w:ascii="仿宋_GB2312" w:hAnsi="仿宋_GB2312" w:eastAsia="仿宋_GB2312" w:cs="仿宋_GB2312"/>
          <w:color w:val="auto"/>
          <w:sz w:val="32"/>
          <w:szCs w:val="32"/>
        </w:rPr>
        <w:t>1人计</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分，D类以上人才的1人计</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val="en-US" w:eastAsia="zh-CN"/>
        </w:rPr>
        <w:t>以上级认定的标准为主，</w:t>
      </w:r>
      <w:r>
        <w:rPr>
          <w:rFonts w:hint="eastAsia" w:ascii="仿宋_GB2312" w:hAnsi="仿宋_GB2312" w:eastAsia="仿宋_GB2312" w:cs="仿宋_GB2312"/>
          <w:color w:val="auto"/>
          <w:sz w:val="32"/>
          <w:szCs w:val="32"/>
        </w:rPr>
        <w:t>满分</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分。</w:t>
      </w:r>
    </w:p>
    <w:p w14:paraId="3E54275B">
      <w:pPr>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（四）安全生产（15分）</w:t>
      </w:r>
    </w:p>
    <w:p w14:paraId="387DB234">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安全生产标准化创建计3分，其他根据《新余经开区企业安全生产管理评价标准》（详见附表1）考评细则进行评分。</w:t>
      </w:r>
    </w:p>
    <w:p w14:paraId="53ABCD7B">
      <w:pPr>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（五）绿色环保（15分）</w:t>
      </w:r>
    </w:p>
    <w:p w14:paraId="0C2EC1DB">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根据《新余经开区企业环境保护管理评价标准》（详见附表2）考评细则进行评分。</w:t>
      </w:r>
    </w:p>
    <w:p w14:paraId="0A67AB08">
      <w:pPr>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（六）其他工作（10分）</w:t>
      </w:r>
    </w:p>
    <w:p w14:paraId="454EAF5D">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主要包括信访维稳、营商环境、建设手续办理、农民工工资支付、厂房租金、物业费缴纳等其他配合管委会的工作，出现不良记录扣1分，满分为10分，扣完为止。</w:t>
      </w:r>
    </w:p>
    <w:p w14:paraId="7C842EEA">
      <w:pPr>
        <w:spacing w:line="56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（七）加分项</w:t>
      </w:r>
    </w:p>
    <w:p w14:paraId="37F569FD">
      <w:pPr>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1.生产经营指标：</w:t>
      </w:r>
    </w:p>
    <w:p w14:paraId="4F21AB80">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值总额超过5亿元，纳税总额超过2000万元，满足其中一项的，在四大项指标得分结果的基础上，加5分进行评级；产值总额超过1亿元，纳税总额超过500万元，满足其中一项的，加2分进行评级；产值超过5000万元且产值</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纳税增幅较上年度超过2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%的，加2分进行评级；产值和纳税增幅较上年度均达20%，加1分进行评级。</w:t>
      </w:r>
    </w:p>
    <w:p w14:paraId="3C0CE8EF">
      <w:pPr>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2.科技创新指标：</w:t>
      </w:r>
    </w:p>
    <w:p w14:paraId="296C049D">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（1）当年度列入市级以上龙头骨干型工业企业培育名单的加2分；规模以上工业企业加2分。</w:t>
      </w:r>
    </w:p>
    <w:p w14:paraId="6EAA840F">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（2）属于有效期内国家级高新技术企业、属当年度认定的国家级高新技术企业加2分;属于有效期内省级高新技术企业、属当年度认定的省级高新技术企业加1分;</w:t>
      </w:r>
    </w:p>
    <w:p w14:paraId="0F970906">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（3）被认定为国家专精特新“小巨人”</w:t>
      </w:r>
      <w:bookmarkStart w:id="3" w:name="_GoBack"/>
      <w:bookmarkEnd w:id="3"/>
      <w:r>
        <w:rPr>
          <w:rFonts w:hint="eastAsia" w:ascii="仿宋_GB2312" w:hAnsi="仿宋_GB2312" w:eastAsia="仿宋_GB2312" w:cs="仿宋_GB2312"/>
          <w:color w:val="auto"/>
          <w:sz w:val="32"/>
          <w:szCs w:val="32"/>
        </w:rPr>
        <w:t>企业和国家级绿色工厂的5分，省级专精特新企业和省级绿色工厂加3分。</w:t>
      </w:r>
    </w:p>
    <w:p w14:paraId="4140C1A6">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（4）获批国家、省、市各类科创平台，分别加5分、3分、1分。（同一平台该项取最高项得分）</w:t>
      </w:r>
    </w:p>
    <w:p w14:paraId="36D09589">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（5）获评国家、省、市科学技术奖（科学技术特别贡献奖、自然科学奖、技术发明奖和科学技术进步奖），分别加5分、3分、1分。（同一项目该项取最高项得分）</w:t>
      </w:r>
    </w:p>
    <w:p w14:paraId="63EABAEC">
      <w:pPr>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3.企业管理指标：</w:t>
      </w:r>
    </w:p>
    <w:p w14:paraId="03C8C8A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（1）容积率达到1.4-1.5（含1.4）的企业加1分，1.5-1.6（含1.5）的企业加2分，1.6及以上的企业加3分。</w:t>
      </w:r>
    </w:p>
    <w:p w14:paraId="1C250065">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（2）落户3年内，从标准厂房成功孵化拿地自建厂房或租赁厂房面积加倍并实现营收翻番的企业，加2分。</w:t>
      </w:r>
    </w:p>
    <w:p w14:paraId="37892F07">
      <w:pPr>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w:t>
      </w:r>
      <w:bookmarkStart w:id="2" w:name="OLE_LINK1"/>
      <w:r>
        <w:rPr>
          <w:rFonts w:hint="eastAsia" w:ascii="仿宋_GB2312" w:hAnsi="仿宋_GB2312" w:eastAsia="仿宋_GB2312" w:cs="仿宋_GB2312"/>
          <w:b/>
          <w:bCs/>
          <w:color w:val="auto"/>
          <w:sz w:val="32"/>
          <w:szCs w:val="32"/>
        </w:rPr>
        <w:t>招商引资指标</w:t>
      </w:r>
      <w:bookmarkEnd w:id="2"/>
      <w:r>
        <w:rPr>
          <w:rFonts w:hint="eastAsia" w:ascii="仿宋_GB2312" w:hAnsi="仿宋_GB2312" w:eastAsia="仿宋_GB2312" w:cs="仿宋_GB2312"/>
          <w:b/>
          <w:bCs/>
          <w:color w:val="auto"/>
          <w:sz w:val="32"/>
          <w:szCs w:val="32"/>
        </w:rPr>
        <w:t>：</w:t>
      </w:r>
    </w:p>
    <w:p w14:paraId="2479786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同时符合以下两个条件的评价对象加5分。条件：①.当年度介绍或招引符合园区主导产业（钢铁新材料、高端装备制造、电子信息等符合产业准入目录的先进产业）的新企业落户并签订工业项目合同书；②.新落户企业固定资产投资达到2000万</w:t>
      </w:r>
      <w:r>
        <w:rPr>
          <w:rFonts w:hint="eastAsia" w:ascii="仿宋_GB2312" w:hAnsi="仿宋_GB2312" w:eastAsia="仿宋_GB2312" w:cs="仿宋_GB2312"/>
          <w:color w:val="auto"/>
          <w:sz w:val="32"/>
          <w:szCs w:val="32"/>
          <w:lang w:eastAsia="zh-CN"/>
        </w:rPr>
        <w:t>元</w:t>
      </w:r>
      <w:r>
        <w:rPr>
          <w:rFonts w:hint="eastAsia" w:ascii="仿宋_GB2312" w:hAnsi="仿宋_GB2312" w:eastAsia="仿宋_GB2312" w:cs="仿宋_GB2312"/>
          <w:color w:val="auto"/>
          <w:sz w:val="32"/>
          <w:szCs w:val="32"/>
        </w:rPr>
        <w:t>以上。</w:t>
      </w:r>
    </w:p>
    <w:p w14:paraId="64D5F16F">
      <w:pPr>
        <w:spacing w:line="560" w:lineRule="exact"/>
        <w:ind w:firstLine="640" w:firstLineChars="200"/>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四、评价程序</w:t>
      </w:r>
    </w:p>
    <w:p w14:paraId="25B8B906">
      <w:pPr>
        <w:spacing w:line="560" w:lineRule="exact"/>
        <w:ind w:firstLine="643"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（一）企业报送：</w:t>
      </w:r>
      <w:r>
        <w:rPr>
          <w:rFonts w:hint="eastAsia" w:ascii="仿宋_GB2312" w:hAnsi="仿宋_GB2312" w:eastAsia="仿宋_GB2312" w:cs="仿宋_GB2312"/>
          <w:snapToGrid w:val="0"/>
          <w:color w:val="auto"/>
          <w:kern w:val="0"/>
          <w:sz w:val="32"/>
          <w:szCs w:val="32"/>
        </w:rPr>
        <w:t>每年</w:t>
      </w:r>
      <w:r>
        <w:rPr>
          <w:rFonts w:hint="eastAsia" w:ascii="仿宋_GB2312" w:hAnsi="仿宋_GB2312" w:eastAsia="仿宋_GB2312" w:cs="仿宋_GB2312"/>
          <w:snapToGrid w:val="0"/>
          <w:color w:val="auto"/>
          <w:kern w:val="0"/>
          <w:sz w:val="32"/>
          <w:szCs w:val="32"/>
          <w:lang w:val="en-US" w:eastAsia="zh-CN"/>
        </w:rPr>
        <w:t>6</w:t>
      </w:r>
      <w:r>
        <w:rPr>
          <w:rFonts w:hint="eastAsia" w:ascii="仿宋_GB2312" w:hAnsi="仿宋_GB2312" w:eastAsia="仿宋_GB2312" w:cs="仿宋_GB2312"/>
          <w:snapToGrid w:val="0"/>
          <w:color w:val="auto"/>
          <w:kern w:val="0"/>
          <w:sz w:val="32"/>
          <w:szCs w:val="32"/>
        </w:rPr>
        <w:t>月</w:t>
      </w:r>
      <w:r>
        <w:rPr>
          <w:rFonts w:hint="eastAsia" w:ascii="仿宋_GB2312" w:hAnsi="仿宋_GB2312" w:eastAsia="仿宋_GB2312" w:cs="仿宋_GB2312"/>
          <w:snapToGrid w:val="0"/>
          <w:color w:val="auto"/>
          <w:kern w:val="0"/>
          <w:sz w:val="32"/>
          <w:szCs w:val="32"/>
          <w:lang w:val="en-US" w:eastAsia="zh-CN"/>
        </w:rPr>
        <w:t>上旬</w:t>
      </w:r>
      <w:r>
        <w:rPr>
          <w:rFonts w:hint="eastAsia" w:ascii="仿宋_GB2312" w:hAnsi="仿宋_GB2312" w:eastAsia="仿宋_GB2312" w:cs="仿宋_GB2312"/>
          <w:snapToGrid w:val="0"/>
          <w:color w:val="auto"/>
          <w:kern w:val="0"/>
          <w:sz w:val="32"/>
          <w:szCs w:val="32"/>
        </w:rPr>
        <w:t>，营商服务部下发《新余经济开发区企业分类管理综合评价表》，挂点帮扶人员指导企业填写评价表，初审无误后报营商服务部对接园区业务部门认定加（减）分情况。</w:t>
      </w:r>
    </w:p>
    <w:p w14:paraId="4C1F48E9">
      <w:pPr>
        <w:spacing w:line="560" w:lineRule="exact"/>
        <w:ind w:firstLine="643"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（二）园区审核：</w:t>
      </w:r>
      <w:r>
        <w:rPr>
          <w:rFonts w:hint="eastAsia" w:ascii="仿宋_GB2312" w:hAnsi="仿宋_GB2312" w:eastAsia="仿宋_GB2312" w:cs="仿宋_GB2312"/>
          <w:snapToGrid w:val="0"/>
          <w:color w:val="auto"/>
          <w:kern w:val="0"/>
          <w:sz w:val="32"/>
          <w:szCs w:val="32"/>
        </w:rPr>
        <w:t>园区业务部门对企业提供的评价表进行初审，营商服务部初步认定评价类别，提交园区党政班子会议研究后，面向社会公布。</w:t>
      </w:r>
    </w:p>
    <w:p w14:paraId="29D4F89A">
      <w:pPr>
        <w:spacing w:line="560" w:lineRule="exact"/>
        <w:ind w:firstLine="640" w:firstLineChars="200"/>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五、分类评价</w:t>
      </w:r>
    </w:p>
    <w:p w14:paraId="4311C08C">
      <w:pPr>
        <w:spacing w:line="56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（一）评价类别。</w:t>
      </w:r>
      <w:r>
        <w:rPr>
          <w:rFonts w:hint="eastAsia" w:ascii="仿宋_GB2312" w:hAnsi="仿宋_GB2312" w:eastAsia="仿宋_GB2312" w:cs="仿宋_GB2312"/>
          <w:color w:val="auto"/>
          <w:sz w:val="32"/>
          <w:szCs w:val="32"/>
        </w:rPr>
        <w:t>根据企业年度各项考核指标最终得分进行评价管理，分为四类企业：</w:t>
      </w:r>
    </w:p>
    <w:p w14:paraId="2123CC4A">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1.A类为优先发展类。</w:t>
      </w:r>
      <w:r>
        <w:rPr>
          <w:rFonts w:hint="eastAsia" w:ascii="仿宋_GB2312" w:hAnsi="仿宋_GB2312" w:eastAsia="仿宋_GB2312" w:cs="仿宋_GB2312"/>
          <w:color w:val="auto"/>
          <w:sz w:val="32"/>
          <w:szCs w:val="32"/>
        </w:rPr>
        <w:t>综合得分85分以上。</w:t>
      </w:r>
    </w:p>
    <w:p w14:paraId="67D20527">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2.B类为鼓励提升类。</w:t>
      </w:r>
      <w:r>
        <w:rPr>
          <w:rFonts w:hint="eastAsia" w:ascii="仿宋_GB2312" w:hAnsi="仿宋_GB2312" w:eastAsia="仿宋_GB2312" w:cs="仿宋_GB2312"/>
          <w:color w:val="auto"/>
          <w:sz w:val="32"/>
          <w:szCs w:val="32"/>
        </w:rPr>
        <w:t>综合得分7</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分（含）</w:t>
      </w:r>
      <w:r>
        <w:rPr>
          <w:rFonts w:hint="eastAsia" w:ascii="仿宋_GB2312" w:hAnsi="仿宋_GB2312" w:eastAsia="仿宋_GB2312" w:cs="仿宋_GB2312"/>
          <w:color w:val="auto"/>
          <w:sz w:val="32"/>
          <w:szCs w:val="32"/>
          <w:lang w:val="en-US" w:eastAsia="zh-CN"/>
        </w:rPr>
        <w:t>至85分的</w:t>
      </w:r>
      <w:r>
        <w:rPr>
          <w:rFonts w:hint="eastAsia" w:ascii="仿宋_GB2312" w:hAnsi="仿宋_GB2312" w:eastAsia="仿宋_GB2312" w:cs="仿宋_GB2312"/>
          <w:color w:val="auto"/>
          <w:sz w:val="32"/>
          <w:szCs w:val="32"/>
        </w:rPr>
        <w:t>。</w:t>
      </w:r>
    </w:p>
    <w:p w14:paraId="049F1E3C">
      <w:pPr>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3.C类为帮扶整改类。</w:t>
      </w:r>
      <w:r>
        <w:rPr>
          <w:rFonts w:hint="eastAsia" w:ascii="仿宋_GB2312" w:hAnsi="仿宋_GB2312" w:eastAsia="仿宋_GB2312" w:cs="仿宋_GB2312"/>
          <w:color w:val="auto"/>
          <w:sz w:val="32"/>
          <w:szCs w:val="32"/>
        </w:rPr>
        <w:t>综合得分6</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分（含）</w:t>
      </w:r>
      <w:r>
        <w:rPr>
          <w:rFonts w:hint="eastAsia" w:ascii="仿宋_GB2312" w:hAnsi="仿宋_GB2312" w:eastAsia="仿宋_GB2312" w:cs="仿宋_GB2312"/>
          <w:color w:val="auto"/>
          <w:sz w:val="32"/>
          <w:szCs w:val="32"/>
          <w:lang w:val="en-US" w:eastAsia="zh-CN"/>
        </w:rPr>
        <w:t>至72分的</w:t>
      </w:r>
      <w:r>
        <w:rPr>
          <w:rFonts w:hint="eastAsia" w:ascii="仿宋_GB2312" w:hAnsi="仿宋_GB2312" w:eastAsia="仿宋_GB2312" w:cs="仿宋_GB2312"/>
          <w:color w:val="auto"/>
          <w:sz w:val="32"/>
          <w:szCs w:val="32"/>
        </w:rPr>
        <w:t>。</w:t>
      </w:r>
    </w:p>
    <w:p w14:paraId="3E0A71ED">
      <w:pPr>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4.D类为倒逼清退类。</w:t>
      </w:r>
      <w:r>
        <w:rPr>
          <w:rFonts w:hint="eastAsia" w:ascii="仿宋_GB2312" w:hAnsi="仿宋_GB2312" w:eastAsia="仿宋_GB2312" w:cs="仿宋_GB2312"/>
          <w:color w:val="auto"/>
          <w:sz w:val="32"/>
          <w:szCs w:val="32"/>
        </w:rPr>
        <w:t>综合得分6</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分以下。</w:t>
      </w:r>
    </w:p>
    <w:p w14:paraId="37D0FD2B">
      <w:pPr>
        <w:spacing w:line="56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（二）提档情况。</w:t>
      </w:r>
      <w:r>
        <w:rPr>
          <w:rFonts w:hint="eastAsia" w:ascii="仿宋_GB2312" w:hAnsi="仿宋_GB2312" w:eastAsia="仿宋_GB2312" w:cs="仿宋_GB2312"/>
          <w:color w:val="auto"/>
          <w:sz w:val="32"/>
          <w:szCs w:val="32"/>
        </w:rPr>
        <w:t>渝水区企业上市挂牌奖励实施办法企业适用对象的企业，直接评定为A类企业；当年度被认定为省级隐形冠军企业、省创新领军企业、国家级制造业单项冠军企业，可在原有类别上提升一档，其他对推动园区高质量发展有较大影响力的企业，可在该企业原有分类基础上适当提档。</w:t>
      </w:r>
    </w:p>
    <w:p w14:paraId="5E4A7241">
      <w:pPr>
        <w:spacing w:line="56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（三）限档情况。</w:t>
      </w:r>
      <w:r>
        <w:rPr>
          <w:rFonts w:hint="eastAsia" w:ascii="仿宋_GB2312" w:hAnsi="仿宋_GB2312" w:eastAsia="仿宋_GB2312" w:cs="仿宋_GB2312"/>
          <w:color w:val="auto"/>
          <w:sz w:val="32"/>
          <w:szCs w:val="32"/>
        </w:rPr>
        <w:t>当年出现贷款本息逾期偿还的企业，实际控制人（法定代表人）被司法机关控制或外逃的企业，有重大失信行为的企业，当年发生一般及以上安全生产事故、重大环境责任事故、产品质量责任事故的企业，重点整治行业中的低效落后企业、依规定需关停淘汰的企业，拒绝提供相关资料数据和不参与评价的企业直接定为D类企业。</w:t>
      </w:r>
    </w:p>
    <w:p w14:paraId="79B6F672">
      <w:pPr>
        <w:spacing w:line="56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（四）动态管理。</w:t>
      </w:r>
      <w:r>
        <w:rPr>
          <w:rFonts w:hint="eastAsia" w:ascii="仿宋_GB2312" w:hAnsi="仿宋_GB2312" w:eastAsia="仿宋_GB2312" w:cs="仿宋_GB2312"/>
          <w:color w:val="auto"/>
          <w:sz w:val="32"/>
          <w:szCs w:val="32"/>
        </w:rPr>
        <w:t>对A、B、C、D四类企业的分类实行动态管理，原则上在评价年度下一年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底</w:t>
      </w:r>
      <w:r>
        <w:rPr>
          <w:rFonts w:hint="eastAsia" w:ascii="仿宋_GB2312" w:hAnsi="仿宋_GB2312" w:eastAsia="仿宋_GB2312" w:cs="仿宋_GB2312"/>
          <w:color w:val="auto"/>
          <w:sz w:val="32"/>
          <w:szCs w:val="32"/>
        </w:rPr>
        <w:t>前更新企业评价年度数据，并根据数据进行重新评价，调整评级类别。</w:t>
      </w:r>
    </w:p>
    <w:p w14:paraId="31748A32">
      <w:pPr>
        <w:spacing w:line="560" w:lineRule="exact"/>
        <w:ind w:firstLine="640" w:firstLineChars="200"/>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六、结果应用</w:t>
      </w:r>
    </w:p>
    <w:p w14:paraId="3BF9941D">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对不同类别企业实施差异化政策，加大首档企业激励力度，倒逼末档企业提升资源要素利用效率，推动资源要素向优质高效领域集中。</w:t>
      </w:r>
    </w:p>
    <w:p w14:paraId="689B100E">
      <w:pPr>
        <w:spacing w:line="56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（一）A类企业。</w:t>
      </w:r>
      <w:r>
        <w:rPr>
          <w:rFonts w:hint="eastAsia" w:ascii="仿宋_GB2312" w:hAnsi="仿宋_GB2312" w:eastAsia="仿宋_GB2312" w:cs="仿宋_GB2312"/>
          <w:color w:val="auto"/>
          <w:sz w:val="32"/>
          <w:szCs w:val="32"/>
        </w:rPr>
        <w:t>优先保障企业用地、用电、用工、子女就学，对企业生产发展遇到的困难优先解决，优先享受各项优惠政策；优先支持企业申报国家、省、市优惠政策、奖励资金和先进示范等，纳入园区年度综合表彰范围。</w:t>
      </w:r>
    </w:p>
    <w:p w14:paraId="3FC5FF83">
      <w:pPr>
        <w:spacing w:line="56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（二）B类企业。</w:t>
      </w:r>
      <w:r>
        <w:rPr>
          <w:rFonts w:hint="eastAsia" w:ascii="仿宋_GB2312" w:hAnsi="仿宋_GB2312" w:eastAsia="仿宋_GB2312" w:cs="仿宋_GB2312"/>
          <w:color w:val="auto"/>
          <w:sz w:val="32"/>
          <w:szCs w:val="32"/>
        </w:rPr>
        <w:t>企业帮扶、要素保障、政策支持在A类企业之后，保障企业用地、用电、用工、子女就学，鼓励企业扩大再生产、实现转型升级发展；纳入园区年度综合表彰范围。</w:t>
      </w:r>
    </w:p>
    <w:p w14:paraId="2F2191DF">
      <w:pPr>
        <w:spacing w:line="56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（三）C类企业。</w:t>
      </w:r>
      <w:r>
        <w:rPr>
          <w:rFonts w:hint="eastAsia" w:ascii="仿宋_GB2312" w:hAnsi="仿宋_GB2312" w:eastAsia="仿宋_GB2312" w:cs="仿宋_GB2312"/>
          <w:color w:val="auto"/>
          <w:sz w:val="32"/>
          <w:szCs w:val="32"/>
        </w:rPr>
        <w:t>严格控制企业用地规模，原则上不得核准和备案与原产能相同（近）的新建用地项目；对企业单位用能进行总量控制；从严控制信用评级、贷款申报额度；当年度不得享受普惠性优惠政策，</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rPr>
        <w:t>纳入园区年度综合表彰范围。</w:t>
      </w:r>
    </w:p>
    <w:p w14:paraId="2659C793">
      <w:pPr>
        <w:spacing w:line="56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（四）D类企业。</w:t>
      </w:r>
      <w:r>
        <w:rPr>
          <w:rFonts w:hint="eastAsia" w:ascii="仿宋_GB2312" w:hAnsi="仿宋_GB2312" w:eastAsia="仿宋_GB2312" w:cs="仿宋_GB2312"/>
          <w:color w:val="auto"/>
          <w:sz w:val="32"/>
          <w:szCs w:val="32"/>
        </w:rPr>
        <w:t>限制享受各级部门制定的优惠政策，不享受租金、物业费相关优惠；租赁政府标准厂房的企业，到期后不再续</w:t>
      </w:r>
      <w:r>
        <w:rPr>
          <w:rFonts w:hint="eastAsia" w:ascii="仿宋_GB2312" w:hAnsi="仿宋_GB2312" w:eastAsia="仿宋_GB2312" w:cs="仿宋_GB2312"/>
          <w:color w:val="auto"/>
          <w:sz w:val="32"/>
          <w:szCs w:val="32"/>
          <w:lang w:val="en-US" w:eastAsia="zh-CN"/>
        </w:rPr>
        <w:t>约</w:t>
      </w:r>
      <w:r>
        <w:rPr>
          <w:rFonts w:hint="eastAsia" w:ascii="仿宋_GB2312" w:hAnsi="仿宋_GB2312" w:eastAsia="仿宋_GB2312" w:cs="仿宋_GB2312"/>
          <w:color w:val="auto"/>
          <w:sz w:val="32"/>
          <w:szCs w:val="32"/>
        </w:rPr>
        <w:t>；不纳入园区年度综合表彰范围；企业放贷不再予以担保支持。</w:t>
      </w:r>
    </w:p>
    <w:p w14:paraId="26F6C11D">
      <w:pPr>
        <w:spacing w:line="560" w:lineRule="exact"/>
        <w:rPr>
          <w:rFonts w:hint="default" w:ascii="黑体" w:hAnsi="黑体" w:eastAsia="黑体" w:cs="黑体"/>
          <w:snapToGrid w:val="0"/>
          <w:color w:val="auto"/>
          <w:kern w:val="0"/>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黑体" w:hAnsi="黑体" w:eastAsia="黑体" w:cs="黑体"/>
          <w:snapToGrid w:val="0"/>
          <w:color w:val="auto"/>
          <w:kern w:val="0"/>
          <w:sz w:val="32"/>
          <w:szCs w:val="32"/>
          <w:lang w:val="en-US" w:eastAsia="zh-CN"/>
        </w:rPr>
        <w:t>七、附则</w:t>
      </w:r>
    </w:p>
    <w:p w14:paraId="29C25FD6">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本办法由新余经开区负责解释。</w:t>
      </w:r>
    </w:p>
    <w:p w14:paraId="551A9455">
      <w:pPr>
        <w:spacing w:line="560" w:lineRule="exact"/>
        <w:ind w:firstLine="640" w:firstLineChars="200"/>
        <w:rPr>
          <w:rFonts w:hint="eastAsia" w:ascii="仿宋_GB2312" w:hAnsi="仿宋_GB2312" w:eastAsia="仿宋_GB2312" w:cs="仿宋_GB2312"/>
          <w:color w:val="auto"/>
          <w:sz w:val="32"/>
          <w:szCs w:val="32"/>
          <w:lang w:val="en-US" w:eastAsia="zh-CN"/>
        </w:rPr>
      </w:pPr>
    </w:p>
    <w:p w14:paraId="276A7B70">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附表1：新余经开区企业安全生产管理评价标准</w:t>
      </w:r>
    </w:p>
    <w:p w14:paraId="61317F56">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附表2：新余经开区企业绿色环保管理评价标准</w:t>
      </w:r>
    </w:p>
    <w:p w14:paraId="2BDE02A7">
      <w:pPr>
        <w:spacing w:line="560" w:lineRule="exact"/>
        <w:ind w:firstLine="640"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附表3：新余经济开发区企业分类管理综合评价</w:t>
      </w:r>
    </w:p>
    <w:p w14:paraId="043AF056">
      <w:pPr>
        <w:spacing w:line="560" w:lineRule="exact"/>
        <w:ind w:firstLine="642"/>
        <w:rPr>
          <w:rFonts w:hint="eastAsia" w:ascii="仿宋_GB2312" w:hAnsi="仿宋_GB2312" w:eastAsia="仿宋_GB2312" w:cs="仿宋_GB2312"/>
          <w:b/>
          <w:bCs/>
          <w:color w:val="auto"/>
          <w:sz w:val="32"/>
          <w:szCs w:val="32"/>
          <w:lang w:val="en-US" w:eastAsia="zh-CN"/>
        </w:rPr>
      </w:pPr>
    </w:p>
    <w:p w14:paraId="11581F78">
      <w:pPr>
        <w:spacing w:line="560" w:lineRule="exact"/>
        <w:ind w:firstLine="642"/>
        <w:rPr>
          <w:rFonts w:hint="eastAsia" w:ascii="仿宋_GB2312" w:hAnsi="仿宋_GB2312" w:eastAsia="仿宋_GB2312" w:cs="仿宋_GB2312"/>
          <w:b/>
          <w:bCs/>
          <w:color w:val="auto"/>
          <w:sz w:val="32"/>
          <w:szCs w:val="32"/>
          <w:lang w:val="en-US" w:eastAsia="zh-CN"/>
        </w:rPr>
      </w:pPr>
    </w:p>
    <w:p w14:paraId="3F689D77">
      <w:pPr>
        <w:spacing w:line="560" w:lineRule="exact"/>
        <w:rPr>
          <w:rFonts w:hint="eastAsia" w:ascii="仿宋_GB2312" w:hAnsi="仿宋_GB2312" w:eastAsia="仿宋_GB2312" w:cs="仿宋_GB2312"/>
          <w:b/>
          <w:bCs/>
          <w:color w:val="auto"/>
          <w:sz w:val="32"/>
          <w:szCs w:val="32"/>
          <w:lang w:val="en-US" w:eastAsia="zh-CN"/>
        </w:rPr>
      </w:pPr>
    </w:p>
    <w:p w14:paraId="7550B8DE">
      <w:pPr>
        <w:spacing w:line="560" w:lineRule="exact"/>
        <w:jc w:val="center"/>
        <w:rPr>
          <w:rFonts w:hint="eastAsia" w:ascii="仿宋_GB2312" w:eastAsia="仿宋_GB2312"/>
          <w:sz w:val="32"/>
          <w:szCs w:val="32"/>
          <w:lang w:val="en-US" w:eastAsia="zh-CN"/>
        </w:rPr>
      </w:pPr>
    </w:p>
    <w:p w14:paraId="661B5610">
      <w:pPr>
        <w:spacing w:line="560" w:lineRule="exact"/>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新余经济开发区管理委员会</w:t>
      </w:r>
    </w:p>
    <w:p w14:paraId="036D318E">
      <w:pPr>
        <w:wordWrap w:val="0"/>
        <w:spacing w:line="560" w:lineRule="exact"/>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2025年11月17日          </w:t>
      </w:r>
    </w:p>
    <w:p w14:paraId="29CD3DF3">
      <w:pPr>
        <w:spacing w:line="560" w:lineRule="exact"/>
        <w:rPr>
          <w:rFonts w:hint="eastAsia" w:ascii="仿宋_GB2312" w:eastAsia="仿宋_GB2312"/>
          <w:sz w:val="32"/>
          <w:szCs w:val="32"/>
        </w:rPr>
      </w:pPr>
    </w:p>
    <w:p w14:paraId="711695C1">
      <w:pPr>
        <w:spacing w:line="560" w:lineRule="exact"/>
        <w:rPr>
          <w:rFonts w:hint="eastAsia" w:ascii="仿宋_GB2312" w:eastAsia="仿宋_GB2312"/>
          <w:sz w:val="32"/>
          <w:szCs w:val="32"/>
        </w:rPr>
      </w:pPr>
    </w:p>
    <w:p w14:paraId="6F80A770">
      <w:pPr>
        <w:spacing w:line="560" w:lineRule="exact"/>
        <w:rPr>
          <w:rFonts w:hint="eastAsia" w:ascii="仿宋_GB2312" w:eastAsia="仿宋_GB2312"/>
          <w:sz w:val="32"/>
          <w:szCs w:val="32"/>
        </w:rPr>
      </w:pPr>
    </w:p>
    <w:p w14:paraId="18DEBED3">
      <w:pPr>
        <w:spacing w:line="560" w:lineRule="exact"/>
        <w:rPr>
          <w:rFonts w:hint="eastAsia" w:ascii="仿宋_GB2312" w:eastAsia="仿宋_GB2312"/>
          <w:sz w:val="32"/>
          <w:szCs w:val="32"/>
        </w:rPr>
      </w:pPr>
    </w:p>
    <w:p w14:paraId="15135205">
      <w:pPr>
        <w:spacing w:line="560" w:lineRule="exact"/>
        <w:rPr>
          <w:rFonts w:hint="eastAsia" w:ascii="仿宋_GB2312" w:eastAsia="仿宋_GB2312"/>
          <w:sz w:val="32"/>
          <w:szCs w:val="32"/>
        </w:rPr>
      </w:pPr>
    </w:p>
    <w:p w14:paraId="5710EF99">
      <w:pPr>
        <w:spacing w:line="560" w:lineRule="exact"/>
        <w:rPr>
          <w:rFonts w:hint="eastAsia" w:ascii="仿宋_GB2312" w:eastAsia="仿宋_GB2312"/>
          <w:sz w:val="32"/>
          <w:szCs w:val="32"/>
        </w:rPr>
      </w:pPr>
    </w:p>
    <w:p w14:paraId="41D577C3">
      <w:pPr>
        <w:spacing w:line="560" w:lineRule="exact"/>
        <w:rPr>
          <w:rFonts w:hint="eastAsia" w:ascii="仿宋_GB2312" w:eastAsia="仿宋_GB2312"/>
          <w:sz w:val="32"/>
          <w:szCs w:val="32"/>
        </w:rPr>
      </w:pPr>
    </w:p>
    <w:p w14:paraId="7244451C">
      <w:pPr>
        <w:spacing w:line="560" w:lineRule="exact"/>
        <w:rPr>
          <w:rFonts w:hint="eastAsia" w:ascii="仿宋_GB2312" w:eastAsia="仿宋_GB2312"/>
          <w:sz w:val="32"/>
          <w:szCs w:val="32"/>
        </w:rPr>
      </w:pPr>
    </w:p>
    <w:p w14:paraId="139304CE">
      <w:pPr>
        <w:spacing w:line="560" w:lineRule="exact"/>
        <w:rPr>
          <w:rFonts w:hint="eastAsia" w:ascii="仿宋_GB2312" w:eastAsia="仿宋_GB2312"/>
          <w:sz w:val="32"/>
          <w:szCs w:val="32"/>
        </w:rPr>
      </w:pPr>
    </w:p>
    <w:p w14:paraId="7A826814">
      <w:pPr>
        <w:spacing w:line="560" w:lineRule="exact"/>
        <w:rPr>
          <w:rFonts w:hint="eastAsia" w:ascii="仿宋_GB2312" w:eastAsia="仿宋_GB2312"/>
          <w:sz w:val="32"/>
          <w:szCs w:val="32"/>
        </w:rPr>
      </w:pPr>
    </w:p>
    <w:p w14:paraId="2C918026">
      <w:pPr>
        <w:spacing w:line="560" w:lineRule="exact"/>
        <w:rPr>
          <w:rFonts w:hint="eastAsia" w:ascii="仿宋_GB2312" w:eastAsia="仿宋_GB2312"/>
          <w:sz w:val="32"/>
          <w:szCs w:val="32"/>
        </w:rPr>
      </w:pPr>
    </w:p>
    <w:p w14:paraId="6C56390E">
      <w:pPr>
        <w:spacing w:line="560" w:lineRule="exact"/>
        <w:rPr>
          <w:rFonts w:hint="eastAsia" w:ascii="仿宋_GB2312" w:eastAsia="仿宋_GB2312"/>
          <w:sz w:val="32"/>
          <w:szCs w:val="32"/>
        </w:rPr>
      </w:pPr>
    </w:p>
    <w:p w14:paraId="083C40E8">
      <w:pPr>
        <w:spacing w:line="560" w:lineRule="exact"/>
        <w:rPr>
          <w:rFonts w:hint="eastAsia" w:ascii="仿宋_GB2312" w:eastAsia="仿宋_GB2312"/>
          <w:sz w:val="32"/>
          <w:szCs w:val="32"/>
        </w:rPr>
      </w:pPr>
    </w:p>
    <w:p w14:paraId="0A4CD765">
      <w:pPr>
        <w:spacing w:line="560" w:lineRule="exact"/>
        <w:rPr>
          <w:rFonts w:hint="eastAsia" w:ascii="仿宋_GB2312" w:eastAsia="仿宋_GB2312"/>
          <w:sz w:val="32"/>
          <w:szCs w:val="32"/>
        </w:rPr>
      </w:pPr>
    </w:p>
    <w:p w14:paraId="439B1F8E">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附表1：</w:t>
      </w:r>
      <w:r>
        <w:rPr>
          <w:rFonts w:hint="eastAsia" w:ascii="仿宋_GB2312" w:hAnsi="仿宋_GB2312" w:eastAsia="仿宋_GB2312" w:cs="仿宋_GB2312"/>
          <w:sz w:val="32"/>
          <w:szCs w:val="32"/>
        </w:rPr>
        <w:t xml:space="preserve">   </w:t>
      </w:r>
      <w:r>
        <w:rPr>
          <w:rFonts w:hint="eastAsia" w:ascii="方正小标宋简体" w:hAnsi="方正小标宋简体" w:eastAsia="方正小标宋简体" w:cs="方正小标宋简体"/>
          <w:sz w:val="32"/>
          <w:szCs w:val="32"/>
        </w:rPr>
        <w:t>新余经开区企业安全生产管理评价标准</w:t>
      </w:r>
    </w:p>
    <w:tbl>
      <w:tblPr>
        <w:tblStyle w:val="3"/>
        <w:tblW w:w="4998" w:type="pct"/>
        <w:tblInd w:w="0" w:type="dxa"/>
        <w:tblLayout w:type="fixed"/>
        <w:tblCellMar>
          <w:top w:w="0" w:type="dxa"/>
          <w:left w:w="108" w:type="dxa"/>
          <w:bottom w:w="0" w:type="dxa"/>
          <w:right w:w="108" w:type="dxa"/>
        </w:tblCellMar>
      </w:tblPr>
      <w:tblGrid>
        <w:gridCol w:w="1132"/>
        <w:gridCol w:w="2673"/>
        <w:gridCol w:w="861"/>
        <w:gridCol w:w="3622"/>
        <w:gridCol w:w="768"/>
      </w:tblGrid>
      <w:tr w14:paraId="6E0376A1">
        <w:tblPrEx>
          <w:tblCellMar>
            <w:top w:w="0" w:type="dxa"/>
            <w:left w:w="108" w:type="dxa"/>
            <w:bottom w:w="0" w:type="dxa"/>
            <w:right w:w="108" w:type="dxa"/>
          </w:tblCellMar>
        </w:tblPrEx>
        <w:trPr>
          <w:trHeight w:val="285" w:hRule="atLeast"/>
        </w:trPr>
        <w:tc>
          <w:tcPr>
            <w:tcW w:w="625" w:type="pct"/>
            <w:tcBorders>
              <w:top w:val="single" w:color="000000" w:sz="4" w:space="0"/>
              <w:left w:val="single" w:color="000000" w:sz="4" w:space="0"/>
              <w:bottom w:val="single" w:color="000000" w:sz="4" w:space="0"/>
              <w:right w:val="single" w:color="000000" w:sz="4" w:space="0"/>
            </w:tcBorders>
            <w:noWrap w:val="0"/>
            <w:vAlign w:val="center"/>
          </w:tcPr>
          <w:p w14:paraId="4E345A62">
            <w:pPr>
              <w:widowControl/>
              <w:jc w:val="center"/>
              <w:textAlignment w:val="center"/>
              <w:rPr>
                <w:rFonts w:hint="eastAsia" w:ascii="宋体" w:hAnsi="宋体" w:cs="宋体"/>
                <w:b/>
                <w:bCs/>
                <w:sz w:val="22"/>
                <w:szCs w:val="22"/>
              </w:rPr>
            </w:pPr>
            <w:r>
              <w:rPr>
                <w:rFonts w:hint="eastAsia" w:ascii="宋体" w:hAnsi="宋体" w:cs="宋体"/>
                <w:b/>
                <w:bCs/>
                <w:sz w:val="22"/>
                <w:szCs w:val="22"/>
                <w:lang w:bidi="ar"/>
              </w:rPr>
              <w:t>类别</w:t>
            </w: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794FE562">
            <w:pPr>
              <w:widowControl/>
              <w:jc w:val="center"/>
              <w:textAlignment w:val="center"/>
              <w:rPr>
                <w:rFonts w:hint="eastAsia" w:ascii="宋体" w:hAnsi="宋体" w:cs="宋体"/>
                <w:b/>
                <w:bCs/>
                <w:sz w:val="22"/>
                <w:szCs w:val="22"/>
              </w:rPr>
            </w:pPr>
            <w:r>
              <w:rPr>
                <w:rFonts w:hint="eastAsia" w:ascii="宋体" w:hAnsi="宋体" w:cs="宋体"/>
                <w:b/>
                <w:bCs/>
                <w:sz w:val="22"/>
                <w:szCs w:val="22"/>
                <w:lang w:bidi="ar"/>
              </w:rPr>
              <w:t>评估项目</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E0EB4CC">
            <w:pPr>
              <w:widowControl/>
              <w:jc w:val="center"/>
              <w:textAlignment w:val="center"/>
              <w:rPr>
                <w:rFonts w:hint="eastAsia" w:ascii="宋体" w:hAnsi="宋体" w:cs="宋体"/>
                <w:b/>
                <w:bCs/>
                <w:sz w:val="22"/>
                <w:szCs w:val="22"/>
              </w:rPr>
            </w:pPr>
            <w:r>
              <w:rPr>
                <w:rFonts w:hint="eastAsia" w:ascii="宋体" w:hAnsi="宋体" w:cs="宋体"/>
                <w:b/>
                <w:bCs/>
                <w:sz w:val="22"/>
                <w:szCs w:val="22"/>
                <w:lang w:bidi="ar"/>
              </w:rPr>
              <w:t>评估分值</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026B7942">
            <w:pPr>
              <w:widowControl/>
              <w:jc w:val="center"/>
              <w:textAlignment w:val="center"/>
              <w:rPr>
                <w:rFonts w:hint="eastAsia" w:ascii="宋体" w:hAnsi="宋体" w:cs="宋体"/>
                <w:b/>
                <w:bCs/>
                <w:sz w:val="22"/>
                <w:szCs w:val="22"/>
              </w:rPr>
            </w:pPr>
            <w:r>
              <w:rPr>
                <w:rFonts w:hint="eastAsia" w:ascii="宋体" w:hAnsi="宋体" w:cs="宋体"/>
                <w:b/>
                <w:bCs/>
                <w:sz w:val="22"/>
                <w:szCs w:val="22"/>
                <w:lang w:bidi="ar"/>
              </w:rPr>
              <w:t>评分原则</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2CDFD806">
            <w:pPr>
              <w:widowControl/>
              <w:jc w:val="center"/>
              <w:textAlignment w:val="center"/>
              <w:rPr>
                <w:rFonts w:hint="eastAsia" w:ascii="宋体" w:hAnsi="宋体" w:cs="宋体"/>
                <w:b/>
                <w:bCs/>
                <w:sz w:val="22"/>
                <w:szCs w:val="22"/>
              </w:rPr>
            </w:pPr>
            <w:r>
              <w:rPr>
                <w:rFonts w:hint="eastAsia" w:ascii="宋体" w:hAnsi="宋体" w:cs="宋体"/>
                <w:b/>
                <w:bCs/>
                <w:sz w:val="22"/>
                <w:szCs w:val="22"/>
                <w:lang w:bidi="ar"/>
              </w:rPr>
              <w:t>评估得分</w:t>
            </w:r>
          </w:p>
        </w:tc>
      </w:tr>
      <w:tr w14:paraId="455F15E1">
        <w:tblPrEx>
          <w:tblCellMar>
            <w:top w:w="0" w:type="dxa"/>
            <w:left w:w="108" w:type="dxa"/>
            <w:bottom w:w="0" w:type="dxa"/>
            <w:right w:w="108" w:type="dxa"/>
          </w:tblCellMar>
        </w:tblPrEx>
        <w:trPr>
          <w:trHeight w:val="850" w:hRule="atLeast"/>
        </w:trPr>
        <w:tc>
          <w:tcPr>
            <w:tcW w:w="625" w:type="pct"/>
            <w:vMerge w:val="restart"/>
            <w:tcBorders>
              <w:top w:val="single" w:color="000000" w:sz="4" w:space="0"/>
              <w:left w:val="single" w:color="000000" w:sz="4" w:space="0"/>
              <w:bottom w:val="single" w:color="000000" w:sz="4" w:space="0"/>
              <w:right w:val="single" w:color="000000" w:sz="4" w:space="0"/>
            </w:tcBorders>
            <w:noWrap w:val="0"/>
            <w:vAlign w:val="center"/>
          </w:tcPr>
          <w:p w14:paraId="3F9CB03E">
            <w:pPr>
              <w:widowControl/>
              <w:jc w:val="left"/>
              <w:textAlignment w:val="center"/>
              <w:rPr>
                <w:rFonts w:hint="eastAsia" w:ascii="宋体" w:hAnsi="宋体" w:cs="宋体"/>
                <w:sz w:val="22"/>
                <w:szCs w:val="22"/>
              </w:rPr>
            </w:pPr>
            <w:r>
              <w:rPr>
                <w:rFonts w:hint="eastAsia" w:ascii="宋体" w:hAnsi="宋体" w:cs="宋体"/>
                <w:kern w:val="0"/>
                <w:sz w:val="22"/>
                <w:szCs w:val="22"/>
                <w:lang w:bidi="ar"/>
              </w:rPr>
              <w:t>一、依法生产经营（8分）</w:t>
            </w: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02673B62">
            <w:pPr>
              <w:widowControl/>
              <w:textAlignment w:val="center"/>
              <w:rPr>
                <w:rFonts w:hint="eastAsia" w:ascii="宋体" w:hAnsi="宋体" w:cs="宋体"/>
                <w:sz w:val="22"/>
                <w:szCs w:val="22"/>
              </w:rPr>
            </w:pPr>
            <w:r>
              <w:rPr>
                <w:rFonts w:hint="eastAsia" w:ascii="宋体" w:hAnsi="宋体" w:cs="宋体"/>
                <w:sz w:val="22"/>
                <w:szCs w:val="22"/>
                <w:lang w:bidi="ar"/>
              </w:rPr>
              <w:t>1、生产经营活动符合工商登记核准范畴且在有效期内</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8968D13">
            <w:pPr>
              <w:widowControl/>
              <w:jc w:val="center"/>
              <w:textAlignment w:val="center"/>
              <w:rPr>
                <w:rFonts w:hint="eastAsia" w:ascii="宋体" w:hAnsi="宋体" w:cs="宋体"/>
                <w:sz w:val="22"/>
                <w:szCs w:val="22"/>
              </w:rPr>
            </w:pPr>
            <w:r>
              <w:rPr>
                <w:rFonts w:hint="eastAsia" w:ascii="宋体" w:hAnsi="宋体" w:cs="宋体"/>
                <w:sz w:val="22"/>
                <w:szCs w:val="22"/>
                <w:lang w:bidi="ar"/>
              </w:rPr>
              <w:t>3</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460E10B9">
            <w:pPr>
              <w:widowControl/>
              <w:textAlignment w:val="center"/>
              <w:rPr>
                <w:rFonts w:hint="eastAsia" w:ascii="宋体" w:hAnsi="宋体" w:cs="宋体"/>
                <w:sz w:val="22"/>
                <w:szCs w:val="22"/>
              </w:rPr>
            </w:pPr>
            <w:r>
              <w:rPr>
                <w:rFonts w:hint="eastAsia" w:ascii="宋体" w:hAnsi="宋体" w:cs="宋体"/>
                <w:sz w:val="22"/>
                <w:szCs w:val="22"/>
                <w:lang w:bidi="ar"/>
              </w:rPr>
              <w:t>无证生产经营、生产经营超越原则范畴和有效期的扣3分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3720AAEF">
            <w:pPr>
              <w:jc w:val="left"/>
              <w:rPr>
                <w:rFonts w:hint="eastAsia" w:ascii="宋体" w:hAnsi="宋体" w:cs="宋体"/>
                <w:sz w:val="22"/>
                <w:szCs w:val="22"/>
              </w:rPr>
            </w:pPr>
          </w:p>
        </w:tc>
      </w:tr>
      <w:tr w14:paraId="4D259A98">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541349">
            <w:pPr>
              <w:jc w:val="left"/>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5F8F3E93">
            <w:pPr>
              <w:widowControl/>
              <w:textAlignment w:val="center"/>
              <w:rPr>
                <w:rFonts w:hint="eastAsia" w:ascii="宋体" w:hAnsi="宋体" w:cs="宋体"/>
                <w:sz w:val="22"/>
                <w:szCs w:val="22"/>
              </w:rPr>
            </w:pPr>
            <w:r>
              <w:rPr>
                <w:rFonts w:hint="eastAsia" w:ascii="宋体" w:hAnsi="宋体" w:cs="宋体"/>
                <w:sz w:val="22"/>
                <w:szCs w:val="22"/>
                <w:lang w:bidi="ar"/>
              </w:rPr>
              <w:t>2、从事特种行业或使用特种设备等依法办理规定的有关证照</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951C528">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47E224AF">
            <w:pPr>
              <w:widowControl/>
              <w:textAlignment w:val="center"/>
              <w:rPr>
                <w:rFonts w:hint="eastAsia" w:ascii="宋体" w:hAnsi="宋体" w:cs="宋体"/>
                <w:sz w:val="22"/>
                <w:szCs w:val="22"/>
              </w:rPr>
            </w:pPr>
            <w:r>
              <w:rPr>
                <w:rFonts w:hint="eastAsia" w:ascii="宋体" w:hAnsi="宋体" w:cs="宋体"/>
                <w:sz w:val="22"/>
                <w:szCs w:val="22"/>
                <w:lang w:bidi="ar"/>
              </w:rPr>
              <w:t>未依法办理有关证照扣2分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535E05EE">
            <w:pPr>
              <w:jc w:val="left"/>
              <w:rPr>
                <w:rFonts w:hint="eastAsia" w:ascii="宋体" w:hAnsi="宋体" w:cs="宋体"/>
                <w:sz w:val="22"/>
                <w:szCs w:val="22"/>
              </w:rPr>
            </w:pPr>
          </w:p>
        </w:tc>
      </w:tr>
      <w:tr w14:paraId="3DE490EB">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7B0708">
            <w:pPr>
              <w:jc w:val="left"/>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4F840E8E">
            <w:pPr>
              <w:widowControl/>
              <w:textAlignment w:val="center"/>
              <w:rPr>
                <w:rFonts w:hint="eastAsia" w:ascii="宋体" w:hAnsi="宋体" w:cs="宋体"/>
                <w:sz w:val="22"/>
                <w:szCs w:val="22"/>
              </w:rPr>
            </w:pPr>
            <w:r>
              <w:rPr>
                <w:rFonts w:hint="eastAsia" w:ascii="宋体" w:hAnsi="宋体" w:cs="宋体"/>
                <w:sz w:val="22"/>
                <w:szCs w:val="22"/>
                <w:lang w:bidi="ar"/>
              </w:rPr>
              <w:t>3、严禁使用国家和我市明令裁减的生产工艺、生产设备和危险物品</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1E21100">
            <w:pPr>
              <w:widowControl/>
              <w:jc w:val="center"/>
              <w:textAlignment w:val="center"/>
              <w:rPr>
                <w:rFonts w:hint="eastAsia" w:ascii="宋体" w:hAnsi="宋体" w:cs="宋体"/>
                <w:sz w:val="22"/>
                <w:szCs w:val="22"/>
              </w:rPr>
            </w:pPr>
            <w:r>
              <w:rPr>
                <w:rFonts w:hint="eastAsia" w:ascii="宋体" w:hAnsi="宋体" w:cs="宋体"/>
                <w:sz w:val="22"/>
                <w:szCs w:val="22"/>
                <w:lang w:bidi="ar"/>
              </w:rPr>
              <w:t>3</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109E8429">
            <w:pPr>
              <w:widowControl/>
              <w:textAlignment w:val="center"/>
              <w:rPr>
                <w:rFonts w:hint="eastAsia" w:ascii="宋体" w:hAnsi="宋体" w:cs="宋体"/>
                <w:sz w:val="22"/>
                <w:szCs w:val="22"/>
              </w:rPr>
            </w:pPr>
            <w:r>
              <w:rPr>
                <w:rFonts w:hint="eastAsia" w:ascii="宋体" w:hAnsi="宋体" w:cs="宋体"/>
                <w:sz w:val="22"/>
                <w:szCs w:val="22"/>
                <w:lang w:bidi="ar"/>
              </w:rPr>
              <w:t>使用国家和我市明令裁减的生产工艺、生产设备和危险物品扣3分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49D50463">
            <w:pPr>
              <w:jc w:val="left"/>
              <w:rPr>
                <w:rFonts w:hint="eastAsia" w:ascii="宋体" w:hAnsi="宋体" w:cs="宋体"/>
                <w:sz w:val="22"/>
                <w:szCs w:val="22"/>
              </w:rPr>
            </w:pPr>
          </w:p>
        </w:tc>
      </w:tr>
      <w:tr w14:paraId="7BED5A46">
        <w:tblPrEx>
          <w:tblCellMar>
            <w:top w:w="0" w:type="dxa"/>
            <w:left w:w="108" w:type="dxa"/>
            <w:bottom w:w="0" w:type="dxa"/>
            <w:right w:w="108" w:type="dxa"/>
          </w:tblCellMar>
        </w:tblPrEx>
        <w:trPr>
          <w:trHeight w:val="850" w:hRule="atLeast"/>
        </w:trPr>
        <w:tc>
          <w:tcPr>
            <w:tcW w:w="625" w:type="pct"/>
            <w:vMerge w:val="restart"/>
            <w:tcBorders>
              <w:top w:val="single" w:color="000000" w:sz="4" w:space="0"/>
              <w:left w:val="single" w:color="000000" w:sz="4" w:space="0"/>
              <w:bottom w:val="single" w:color="000000" w:sz="4" w:space="0"/>
              <w:right w:val="single" w:color="000000" w:sz="4" w:space="0"/>
            </w:tcBorders>
            <w:noWrap w:val="0"/>
            <w:vAlign w:val="center"/>
          </w:tcPr>
          <w:p w14:paraId="78810184">
            <w:pPr>
              <w:widowControl/>
              <w:jc w:val="left"/>
              <w:textAlignment w:val="center"/>
              <w:rPr>
                <w:rFonts w:hint="eastAsia" w:ascii="宋体" w:hAnsi="宋体" w:cs="宋体"/>
                <w:sz w:val="22"/>
                <w:szCs w:val="22"/>
              </w:rPr>
            </w:pPr>
            <w:r>
              <w:rPr>
                <w:rFonts w:hint="eastAsia" w:ascii="宋体" w:hAnsi="宋体" w:cs="宋体"/>
                <w:kern w:val="0"/>
                <w:sz w:val="22"/>
                <w:szCs w:val="22"/>
                <w:lang w:bidi="ar"/>
              </w:rPr>
              <w:t>二、组织保证体系（8分）</w:t>
            </w: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0C69D3C6">
            <w:pPr>
              <w:widowControl/>
              <w:textAlignment w:val="center"/>
              <w:rPr>
                <w:rFonts w:hint="eastAsia" w:ascii="宋体" w:hAnsi="宋体" w:cs="宋体"/>
                <w:sz w:val="22"/>
                <w:szCs w:val="22"/>
              </w:rPr>
            </w:pPr>
            <w:r>
              <w:rPr>
                <w:rFonts w:hint="eastAsia" w:ascii="宋体" w:hAnsi="宋体" w:cs="宋体"/>
                <w:sz w:val="22"/>
                <w:szCs w:val="22"/>
                <w:lang w:bidi="ar"/>
              </w:rPr>
              <w:t>1、按规定设立安全生产管理机构，按规定配备专(兼)职安全生产管理人员</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B7F70A6">
            <w:pPr>
              <w:widowControl/>
              <w:jc w:val="center"/>
              <w:textAlignment w:val="center"/>
              <w:rPr>
                <w:rFonts w:hint="eastAsia" w:ascii="宋体" w:hAnsi="宋体" w:cs="宋体"/>
                <w:sz w:val="22"/>
                <w:szCs w:val="22"/>
              </w:rPr>
            </w:pPr>
            <w:r>
              <w:rPr>
                <w:rFonts w:hint="eastAsia" w:ascii="宋体" w:hAnsi="宋体" w:cs="宋体"/>
                <w:sz w:val="22"/>
                <w:szCs w:val="22"/>
                <w:lang w:bidi="ar"/>
              </w:rPr>
              <w:t>3</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0FACCC48">
            <w:pPr>
              <w:widowControl/>
              <w:textAlignment w:val="center"/>
              <w:rPr>
                <w:rFonts w:hint="eastAsia" w:ascii="宋体" w:hAnsi="宋体" w:cs="宋体"/>
                <w:sz w:val="22"/>
                <w:szCs w:val="22"/>
              </w:rPr>
            </w:pPr>
            <w:r>
              <w:rPr>
                <w:rFonts w:hint="eastAsia" w:ascii="宋体" w:hAnsi="宋体" w:cs="宋体"/>
                <w:sz w:val="22"/>
                <w:szCs w:val="22"/>
                <w:lang w:bidi="ar"/>
              </w:rPr>
              <w:t>未按规定设立安全生产管理机构或未配备专(兼)职安全生产管理人员扣3分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559365A5">
            <w:pPr>
              <w:jc w:val="left"/>
              <w:rPr>
                <w:rFonts w:hint="eastAsia" w:ascii="宋体" w:hAnsi="宋体" w:cs="宋体"/>
                <w:sz w:val="22"/>
                <w:szCs w:val="22"/>
              </w:rPr>
            </w:pPr>
          </w:p>
        </w:tc>
      </w:tr>
      <w:tr w14:paraId="1BD88731">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B3E8D0">
            <w:pPr>
              <w:jc w:val="left"/>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4206F692">
            <w:pPr>
              <w:widowControl/>
              <w:textAlignment w:val="center"/>
              <w:rPr>
                <w:rFonts w:hint="eastAsia" w:ascii="宋体" w:hAnsi="宋体" w:cs="宋体"/>
                <w:sz w:val="22"/>
                <w:szCs w:val="22"/>
              </w:rPr>
            </w:pPr>
            <w:r>
              <w:rPr>
                <w:rFonts w:hint="eastAsia" w:ascii="宋体" w:hAnsi="宋体" w:cs="宋体"/>
                <w:sz w:val="22"/>
                <w:szCs w:val="22"/>
                <w:lang w:bidi="ar"/>
              </w:rPr>
              <w:t>2、制定事故应急处置预</w:t>
            </w:r>
            <w:r>
              <w:rPr>
                <w:rFonts w:hint="eastAsia" w:ascii="宋体" w:hAnsi="宋体" w:cs="宋体"/>
                <w:sz w:val="22"/>
                <w:szCs w:val="22"/>
                <w:lang w:bidi="ar"/>
              </w:rPr>
              <w:br w:type="textWrapping"/>
            </w:r>
            <w:r>
              <w:rPr>
                <w:rFonts w:hint="eastAsia" w:ascii="宋体" w:hAnsi="宋体" w:cs="宋体"/>
                <w:sz w:val="22"/>
                <w:szCs w:val="22"/>
                <w:lang w:bidi="ar"/>
              </w:rPr>
              <w:t>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94E1E2A">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12F08F32">
            <w:pPr>
              <w:widowControl/>
              <w:textAlignment w:val="center"/>
              <w:rPr>
                <w:rFonts w:hint="eastAsia" w:ascii="宋体" w:hAnsi="宋体" w:cs="宋体"/>
                <w:sz w:val="22"/>
                <w:szCs w:val="22"/>
              </w:rPr>
            </w:pPr>
            <w:r>
              <w:rPr>
                <w:rFonts w:hint="eastAsia" w:ascii="宋体" w:hAnsi="宋体" w:cs="宋体"/>
                <w:sz w:val="22"/>
                <w:szCs w:val="22"/>
                <w:lang w:bidi="ar"/>
              </w:rPr>
              <w:t>未建立事故应急处置预案扣2分未进行过演练扣1分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5D4DFEB2">
            <w:pPr>
              <w:jc w:val="left"/>
              <w:rPr>
                <w:rFonts w:hint="eastAsia" w:ascii="宋体" w:hAnsi="宋体" w:cs="宋体"/>
                <w:sz w:val="22"/>
                <w:szCs w:val="22"/>
              </w:rPr>
            </w:pPr>
          </w:p>
        </w:tc>
      </w:tr>
      <w:tr w14:paraId="488C139F">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65A22B">
            <w:pPr>
              <w:jc w:val="left"/>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6FD36371">
            <w:pPr>
              <w:widowControl/>
              <w:textAlignment w:val="center"/>
              <w:rPr>
                <w:rFonts w:hint="eastAsia" w:ascii="宋体" w:hAnsi="宋体" w:cs="宋体"/>
                <w:sz w:val="22"/>
                <w:szCs w:val="22"/>
              </w:rPr>
            </w:pPr>
            <w:r>
              <w:rPr>
                <w:rFonts w:hint="eastAsia" w:ascii="宋体" w:hAnsi="宋体" w:cs="宋体"/>
                <w:sz w:val="22"/>
                <w:szCs w:val="22"/>
                <w:lang w:bidi="ar"/>
              </w:rPr>
              <w:t>3、建立安全生产标准化</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082CFC8">
            <w:pPr>
              <w:widowControl/>
              <w:jc w:val="center"/>
              <w:textAlignment w:val="center"/>
              <w:rPr>
                <w:rFonts w:hint="eastAsia" w:ascii="宋体" w:hAnsi="宋体" w:cs="宋体"/>
                <w:sz w:val="22"/>
                <w:szCs w:val="22"/>
              </w:rPr>
            </w:pPr>
            <w:r>
              <w:rPr>
                <w:rFonts w:hint="eastAsia" w:ascii="宋体" w:hAnsi="宋体" w:cs="宋体"/>
                <w:sz w:val="22"/>
                <w:szCs w:val="22"/>
                <w:lang w:bidi="ar"/>
              </w:rPr>
              <w:t>3</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287E4909">
            <w:pPr>
              <w:widowControl/>
              <w:textAlignment w:val="center"/>
              <w:rPr>
                <w:rFonts w:hint="eastAsia" w:ascii="宋体" w:hAnsi="宋体" w:cs="宋体"/>
                <w:sz w:val="22"/>
                <w:szCs w:val="22"/>
              </w:rPr>
            </w:pPr>
            <w:r>
              <w:rPr>
                <w:rFonts w:hint="eastAsia" w:ascii="宋体" w:hAnsi="宋体" w:cs="宋体"/>
                <w:sz w:val="22"/>
                <w:szCs w:val="22"/>
                <w:lang w:bidi="ar"/>
              </w:rPr>
              <w:t>未建立安全生产标准化扣3分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0BF6B277">
            <w:pPr>
              <w:jc w:val="left"/>
              <w:rPr>
                <w:rFonts w:hint="eastAsia" w:ascii="宋体" w:hAnsi="宋体" w:cs="宋体"/>
                <w:sz w:val="22"/>
                <w:szCs w:val="22"/>
              </w:rPr>
            </w:pPr>
          </w:p>
        </w:tc>
      </w:tr>
      <w:tr w14:paraId="56FA8805">
        <w:tblPrEx>
          <w:tblCellMar>
            <w:top w:w="0" w:type="dxa"/>
            <w:left w:w="108" w:type="dxa"/>
            <w:bottom w:w="0" w:type="dxa"/>
            <w:right w:w="108" w:type="dxa"/>
          </w:tblCellMar>
        </w:tblPrEx>
        <w:trPr>
          <w:trHeight w:val="850" w:hRule="atLeast"/>
        </w:trPr>
        <w:tc>
          <w:tcPr>
            <w:tcW w:w="625" w:type="pct"/>
            <w:vMerge w:val="restart"/>
            <w:tcBorders>
              <w:top w:val="single" w:color="000000" w:sz="4" w:space="0"/>
              <w:left w:val="single" w:color="000000" w:sz="4" w:space="0"/>
              <w:bottom w:val="single" w:color="000000" w:sz="4" w:space="0"/>
              <w:right w:val="single" w:color="000000" w:sz="4" w:space="0"/>
            </w:tcBorders>
            <w:noWrap w:val="0"/>
            <w:vAlign w:val="center"/>
          </w:tcPr>
          <w:p w14:paraId="2EA6B9E7">
            <w:pPr>
              <w:widowControl/>
              <w:jc w:val="left"/>
              <w:textAlignment w:val="center"/>
              <w:rPr>
                <w:rFonts w:hint="eastAsia" w:ascii="宋体" w:hAnsi="宋体" w:cs="宋体"/>
                <w:sz w:val="22"/>
                <w:szCs w:val="22"/>
              </w:rPr>
            </w:pPr>
            <w:r>
              <w:rPr>
                <w:rFonts w:hint="eastAsia" w:ascii="宋体" w:hAnsi="宋体" w:cs="宋体"/>
                <w:kern w:val="0"/>
                <w:sz w:val="22"/>
                <w:szCs w:val="22"/>
                <w:lang w:bidi="ar"/>
              </w:rPr>
              <w:t>三、安全教育培训（8分）</w:t>
            </w: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432C7065">
            <w:pPr>
              <w:widowControl/>
              <w:textAlignment w:val="center"/>
              <w:rPr>
                <w:rFonts w:hint="eastAsia" w:ascii="宋体" w:hAnsi="宋体" w:cs="宋体"/>
                <w:sz w:val="22"/>
                <w:szCs w:val="22"/>
              </w:rPr>
            </w:pPr>
            <w:r>
              <w:rPr>
                <w:rFonts w:hint="eastAsia" w:ascii="宋体" w:hAnsi="宋体" w:cs="宋体"/>
                <w:sz w:val="22"/>
                <w:szCs w:val="22"/>
                <w:lang w:bidi="ar"/>
              </w:rPr>
              <w:t>1、对从业人员进行安全教育、特种作业人员经培训合格持证上岗</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EC7604B">
            <w:pPr>
              <w:widowControl/>
              <w:jc w:val="center"/>
              <w:textAlignment w:val="center"/>
              <w:rPr>
                <w:rFonts w:hint="eastAsia" w:ascii="宋体" w:hAnsi="宋体" w:cs="宋体"/>
                <w:sz w:val="22"/>
                <w:szCs w:val="22"/>
              </w:rPr>
            </w:pPr>
            <w:r>
              <w:rPr>
                <w:rFonts w:hint="eastAsia" w:ascii="宋体" w:hAnsi="宋体" w:cs="宋体"/>
                <w:sz w:val="22"/>
                <w:szCs w:val="22"/>
                <w:lang w:bidi="ar"/>
              </w:rPr>
              <w:t>4</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27A316D2">
            <w:pPr>
              <w:widowControl/>
              <w:textAlignment w:val="center"/>
              <w:rPr>
                <w:rFonts w:hint="eastAsia" w:ascii="宋体" w:hAnsi="宋体" w:cs="宋体"/>
                <w:sz w:val="22"/>
                <w:szCs w:val="22"/>
              </w:rPr>
            </w:pPr>
            <w:r>
              <w:rPr>
                <w:rFonts w:hint="eastAsia" w:ascii="宋体" w:hAnsi="宋体" w:cs="宋体"/>
                <w:sz w:val="22"/>
                <w:szCs w:val="22"/>
                <w:lang w:bidi="ar"/>
              </w:rPr>
              <w:t>未对从业人员进行安全教育的扣2分;特种作业人员未持证上岗每人次扣1分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1D06DEA7">
            <w:pPr>
              <w:jc w:val="left"/>
              <w:rPr>
                <w:rFonts w:hint="eastAsia" w:ascii="宋体" w:hAnsi="宋体" w:cs="宋体"/>
                <w:sz w:val="22"/>
                <w:szCs w:val="22"/>
              </w:rPr>
            </w:pPr>
          </w:p>
        </w:tc>
      </w:tr>
      <w:tr w14:paraId="6BD04746">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8B1697">
            <w:pPr>
              <w:jc w:val="left"/>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705D31C7">
            <w:pPr>
              <w:widowControl/>
              <w:textAlignment w:val="center"/>
              <w:rPr>
                <w:rFonts w:hint="eastAsia" w:ascii="宋体" w:hAnsi="宋体" w:cs="宋体"/>
                <w:sz w:val="22"/>
                <w:szCs w:val="22"/>
              </w:rPr>
            </w:pPr>
            <w:r>
              <w:rPr>
                <w:rFonts w:hint="eastAsia" w:ascii="宋体" w:hAnsi="宋体" w:cs="宋体"/>
                <w:sz w:val="22"/>
                <w:szCs w:val="22"/>
                <w:lang w:bidi="ar"/>
              </w:rPr>
              <w:t>2、主要负责人、安全生产管理人员具有相应安全知识和管理能力，经培训合格任职</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AC64BC7">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5DD05F76">
            <w:pPr>
              <w:widowControl/>
              <w:textAlignment w:val="center"/>
              <w:rPr>
                <w:rFonts w:hint="eastAsia" w:ascii="宋体" w:hAnsi="宋体" w:cs="宋体"/>
                <w:sz w:val="22"/>
                <w:szCs w:val="22"/>
              </w:rPr>
            </w:pPr>
            <w:r>
              <w:rPr>
                <w:rFonts w:hint="eastAsia" w:ascii="宋体" w:hAnsi="宋体" w:cs="宋体"/>
                <w:sz w:val="22"/>
                <w:szCs w:val="22"/>
                <w:lang w:bidi="ar"/>
              </w:rPr>
              <w:t>公司主要负责人、安全生产管理人员未具有相应的安全生产知识和管理能力，未经培训合格每人次扣1分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6A78B071">
            <w:pPr>
              <w:jc w:val="left"/>
              <w:rPr>
                <w:rFonts w:hint="eastAsia" w:ascii="宋体" w:hAnsi="宋体" w:cs="宋体"/>
                <w:sz w:val="22"/>
                <w:szCs w:val="22"/>
              </w:rPr>
            </w:pPr>
          </w:p>
        </w:tc>
      </w:tr>
      <w:tr w14:paraId="152211AB">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20AB5E">
            <w:pPr>
              <w:jc w:val="left"/>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2E098BC5">
            <w:pPr>
              <w:widowControl/>
              <w:textAlignment w:val="center"/>
              <w:rPr>
                <w:rFonts w:hint="eastAsia" w:ascii="宋体" w:hAnsi="宋体" w:cs="宋体"/>
                <w:sz w:val="22"/>
                <w:szCs w:val="22"/>
              </w:rPr>
            </w:pPr>
            <w:r>
              <w:rPr>
                <w:rFonts w:hint="eastAsia" w:ascii="宋体" w:hAnsi="宋体" w:cs="宋体"/>
                <w:sz w:val="22"/>
                <w:szCs w:val="22"/>
                <w:lang w:bidi="ar"/>
              </w:rPr>
              <w:t>3、采用新工艺、新技术、新材料、新设备进行专门安全教育培训</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AA3A1BD">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18C76F22">
            <w:pPr>
              <w:widowControl/>
              <w:textAlignment w:val="center"/>
              <w:rPr>
                <w:rFonts w:hint="eastAsia" w:ascii="宋体" w:hAnsi="宋体" w:cs="宋体"/>
                <w:sz w:val="22"/>
                <w:szCs w:val="22"/>
              </w:rPr>
            </w:pPr>
            <w:r>
              <w:rPr>
                <w:rFonts w:hint="eastAsia" w:ascii="宋体" w:hAnsi="宋体" w:cs="宋体"/>
                <w:sz w:val="22"/>
                <w:szCs w:val="22"/>
                <w:lang w:bidi="ar"/>
              </w:rPr>
              <w:t>未采用新工艺、新技术、新材料、新设备进行专门安全教育培训的扣2分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62644041">
            <w:pPr>
              <w:jc w:val="left"/>
              <w:rPr>
                <w:rFonts w:hint="eastAsia" w:ascii="宋体" w:hAnsi="宋体" w:cs="宋体"/>
                <w:sz w:val="22"/>
                <w:szCs w:val="22"/>
              </w:rPr>
            </w:pPr>
          </w:p>
        </w:tc>
      </w:tr>
      <w:tr w14:paraId="5D885A60">
        <w:tblPrEx>
          <w:tblCellMar>
            <w:top w:w="0" w:type="dxa"/>
            <w:left w:w="108" w:type="dxa"/>
            <w:bottom w:w="0" w:type="dxa"/>
            <w:right w:w="108" w:type="dxa"/>
          </w:tblCellMar>
        </w:tblPrEx>
        <w:trPr>
          <w:trHeight w:val="850" w:hRule="atLeast"/>
        </w:trPr>
        <w:tc>
          <w:tcPr>
            <w:tcW w:w="625" w:type="pct"/>
            <w:vMerge w:val="restart"/>
            <w:tcBorders>
              <w:top w:val="single" w:color="000000" w:sz="4" w:space="0"/>
              <w:left w:val="single" w:color="000000" w:sz="4" w:space="0"/>
              <w:bottom w:val="single" w:color="000000" w:sz="4" w:space="0"/>
              <w:right w:val="single" w:color="000000" w:sz="4" w:space="0"/>
            </w:tcBorders>
            <w:noWrap w:val="0"/>
            <w:vAlign w:val="center"/>
          </w:tcPr>
          <w:p w14:paraId="1DF8B1AE">
            <w:pPr>
              <w:widowControl/>
              <w:jc w:val="left"/>
              <w:textAlignment w:val="center"/>
              <w:rPr>
                <w:rFonts w:hint="eastAsia" w:ascii="宋体" w:hAnsi="宋体" w:cs="宋体"/>
                <w:sz w:val="22"/>
                <w:szCs w:val="22"/>
              </w:rPr>
            </w:pPr>
            <w:r>
              <w:rPr>
                <w:rFonts w:hint="eastAsia" w:ascii="宋体" w:hAnsi="宋体" w:cs="宋体"/>
                <w:kern w:val="0"/>
                <w:sz w:val="22"/>
                <w:szCs w:val="22"/>
                <w:lang w:bidi="ar"/>
              </w:rPr>
              <w:t>四、维护员工权益（6分）</w:t>
            </w: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24E8E917">
            <w:pPr>
              <w:widowControl/>
              <w:textAlignment w:val="center"/>
              <w:rPr>
                <w:rFonts w:hint="eastAsia" w:ascii="宋体" w:hAnsi="宋体" w:cs="宋体"/>
                <w:sz w:val="22"/>
                <w:szCs w:val="22"/>
              </w:rPr>
            </w:pPr>
            <w:r>
              <w:rPr>
                <w:rFonts w:hint="eastAsia" w:ascii="宋体" w:hAnsi="宋体" w:cs="宋体"/>
                <w:sz w:val="22"/>
                <w:szCs w:val="22"/>
                <w:lang w:bidi="ar"/>
              </w:rPr>
              <w:t>1、参与工伤保险，缴纳保险金</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7F391BB">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48990335">
            <w:pPr>
              <w:widowControl/>
              <w:textAlignment w:val="center"/>
              <w:rPr>
                <w:rFonts w:hint="eastAsia" w:ascii="宋体" w:hAnsi="宋体" w:cs="宋体"/>
                <w:sz w:val="22"/>
                <w:szCs w:val="22"/>
              </w:rPr>
            </w:pPr>
            <w:r>
              <w:rPr>
                <w:rFonts w:hint="eastAsia" w:ascii="宋体" w:hAnsi="宋体" w:cs="宋体"/>
                <w:sz w:val="22"/>
                <w:szCs w:val="22"/>
                <w:lang w:bidi="ar"/>
              </w:rPr>
              <w:t>未参与工伤保险缴纳保险金扣2分;部分参与工伤保险、缴纳保险金的扣1分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2BFDCB17">
            <w:pPr>
              <w:jc w:val="left"/>
              <w:rPr>
                <w:rFonts w:hint="eastAsia" w:ascii="宋体" w:hAnsi="宋体" w:cs="宋体"/>
                <w:sz w:val="22"/>
                <w:szCs w:val="22"/>
              </w:rPr>
            </w:pPr>
          </w:p>
        </w:tc>
      </w:tr>
      <w:tr w14:paraId="77773534">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997C3D">
            <w:pPr>
              <w:jc w:val="left"/>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34F98E9C">
            <w:pPr>
              <w:widowControl/>
              <w:textAlignment w:val="center"/>
              <w:rPr>
                <w:rFonts w:hint="eastAsia" w:ascii="宋体" w:hAnsi="宋体" w:cs="宋体"/>
                <w:sz w:val="22"/>
                <w:szCs w:val="22"/>
              </w:rPr>
            </w:pPr>
            <w:r>
              <w:rPr>
                <w:rFonts w:hint="eastAsia" w:ascii="宋体" w:hAnsi="宋体" w:cs="宋体"/>
                <w:sz w:val="22"/>
                <w:szCs w:val="22"/>
                <w:lang w:bidi="ar"/>
              </w:rPr>
              <w:t>2、按规定原则为员工配备劳动防护用品</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C718725">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73109A49">
            <w:pPr>
              <w:widowControl/>
              <w:textAlignment w:val="center"/>
              <w:rPr>
                <w:rFonts w:hint="eastAsia" w:ascii="宋体" w:hAnsi="宋体" w:cs="宋体"/>
                <w:sz w:val="22"/>
                <w:szCs w:val="22"/>
              </w:rPr>
            </w:pPr>
            <w:r>
              <w:rPr>
                <w:rFonts w:hint="eastAsia" w:ascii="宋体" w:hAnsi="宋体" w:cs="宋体"/>
                <w:sz w:val="22"/>
                <w:szCs w:val="22"/>
                <w:lang w:bidi="ar"/>
              </w:rPr>
              <w:t>未按规定原则为员工配备劳动防护用品的扣2分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623C4B12">
            <w:pPr>
              <w:jc w:val="left"/>
              <w:rPr>
                <w:rFonts w:hint="eastAsia" w:ascii="宋体" w:hAnsi="宋体" w:cs="宋体"/>
                <w:sz w:val="22"/>
                <w:szCs w:val="22"/>
              </w:rPr>
            </w:pPr>
          </w:p>
        </w:tc>
      </w:tr>
      <w:tr w14:paraId="5C15DACB">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A0D9D0">
            <w:pPr>
              <w:jc w:val="left"/>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74B79CCD">
            <w:pPr>
              <w:widowControl/>
              <w:textAlignment w:val="center"/>
              <w:rPr>
                <w:rFonts w:hint="eastAsia" w:ascii="宋体" w:hAnsi="宋体" w:cs="宋体"/>
                <w:sz w:val="22"/>
                <w:szCs w:val="22"/>
              </w:rPr>
            </w:pPr>
            <w:r>
              <w:rPr>
                <w:rFonts w:hint="eastAsia" w:ascii="宋体" w:hAnsi="宋体" w:cs="宋体"/>
                <w:sz w:val="22"/>
                <w:szCs w:val="22"/>
                <w:lang w:bidi="ar"/>
              </w:rPr>
              <w:t>3、如实告知作业场合、岗位的危险因素和防范措施、为从事职业危害作业定期健康检查</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E3A88DE">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2D5EF1D7">
            <w:pPr>
              <w:widowControl/>
              <w:textAlignment w:val="center"/>
              <w:rPr>
                <w:rFonts w:hint="eastAsia" w:ascii="宋体" w:hAnsi="宋体" w:cs="宋体"/>
                <w:sz w:val="22"/>
                <w:szCs w:val="22"/>
              </w:rPr>
            </w:pPr>
            <w:r>
              <w:rPr>
                <w:rFonts w:hint="eastAsia" w:ascii="宋体" w:hAnsi="宋体" w:cs="宋体"/>
                <w:sz w:val="22"/>
                <w:szCs w:val="22"/>
                <w:lang w:bidi="ar"/>
              </w:rPr>
              <w:t>未如实告知作业场合、岗位的危险因素和防范措施的扣2分;未为从事职业危害作业的定期健康检查的扣2分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533520FD">
            <w:pPr>
              <w:jc w:val="left"/>
              <w:rPr>
                <w:rFonts w:hint="eastAsia" w:ascii="宋体" w:hAnsi="宋体" w:cs="宋体"/>
                <w:sz w:val="22"/>
                <w:szCs w:val="22"/>
              </w:rPr>
            </w:pPr>
          </w:p>
        </w:tc>
      </w:tr>
      <w:tr w14:paraId="719AD418">
        <w:tblPrEx>
          <w:tblCellMar>
            <w:top w:w="0" w:type="dxa"/>
            <w:left w:w="108" w:type="dxa"/>
            <w:bottom w:w="0" w:type="dxa"/>
            <w:right w:w="108" w:type="dxa"/>
          </w:tblCellMar>
        </w:tblPrEx>
        <w:trPr>
          <w:trHeight w:val="850" w:hRule="atLeast"/>
        </w:trPr>
        <w:tc>
          <w:tcPr>
            <w:tcW w:w="625" w:type="pct"/>
            <w:vMerge w:val="restart"/>
            <w:tcBorders>
              <w:top w:val="single" w:color="000000" w:sz="4" w:space="0"/>
              <w:left w:val="single" w:color="000000" w:sz="4" w:space="0"/>
              <w:bottom w:val="single" w:color="000000" w:sz="4" w:space="0"/>
              <w:right w:val="single" w:color="000000" w:sz="4" w:space="0"/>
            </w:tcBorders>
            <w:noWrap w:val="0"/>
            <w:vAlign w:val="center"/>
          </w:tcPr>
          <w:p w14:paraId="4478F81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五、安全事务管理（20分）</w:t>
            </w: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043A04A0">
            <w:pPr>
              <w:widowControl/>
              <w:textAlignment w:val="center"/>
              <w:rPr>
                <w:rFonts w:hint="eastAsia" w:ascii="宋体" w:hAnsi="宋体" w:cs="宋体"/>
                <w:sz w:val="22"/>
                <w:szCs w:val="22"/>
              </w:rPr>
            </w:pPr>
            <w:r>
              <w:rPr>
                <w:rFonts w:hint="eastAsia" w:ascii="宋体" w:hAnsi="宋体" w:cs="宋体"/>
                <w:sz w:val="22"/>
                <w:szCs w:val="22"/>
                <w:lang w:bidi="ar"/>
              </w:rPr>
              <w:t>1、建立安全生产档案，且内容齐全</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A98814D">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064FFB5B">
            <w:pPr>
              <w:widowControl/>
              <w:textAlignment w:val="center"/>
              <w:rPr>
                <w:rFonts w:hint="eastAsia" w:ascii="宋体" w:hAnsi="宋体" w:cs="宋体"/>
                <w:sz w:val="22"/>
                <w:szCs w:val="22"/>
              </w:rPr>
            </w:pPr>
            <w:r>
              <w:rPr>
                <w:rFonts w:hint="eastAsia" w:ascii="宋体" w:hAnsi="宋体" w:cs="宋体"/>
                <w:sz w:val="22"/>
                <w:szCs w:val="22"/>
                <w:lang w:bidi="ar"/>
              </w:rPr>
              <w:t>未建立安全生产档案的扣2分;建立安全生产档案，但内容不齐全的扣1分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41BBE0D1">
            <w:pPr>
              <w:rPr>
                <w:rFonts w:hint="eastAsia" w:ascii="宋体" w:hAnsi="宋体" w:cs="宋体"/>
                <w:sz w:val="22"/>
                <w:szCs w:val="22"/>
              </w:rPr>
            </w:pPr>
          </w:p>
        </w:tc>
      </w:tr>
      <w:tr w14:paraId="5C045D63">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45CE58">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542099DA">
            <w:pPr>
              <w:widowControl/>
              <w:textAlignment w:val="center"/>
              <w:rPr>
                <w:rFonts w:hint="eastAsia" w:ascii="宋体" w:hAnsi="宋体" w:cs="宋体"/>
                <w:sz w:val="22"/>
                <w:szCs w:val="22"/>
              </w:rPr>
            </w:pPr>
            <w:r>
              <w:rPr>
                <w:rFonts w:hint="eastAsia" w:ascii="宋体" w:hAnsi="宋体" w:cs="宋体"/>
                <w:sz w:val="22"/>
                <w:szCs w:val="22"/>
                <w:lang w:bidi="ar"/>
              </w:rPr>
              <w:t>2、建立安全生产规章制</w:t>
            </w:r>
            <w:r>
              <w:rPr>
                <w:rFonts w:hint="eastAsia" w:ascii="宋体" w:hAnsi="宋体" w:cs="宋体"/>
                <w:sz w:val="22"/>
                <w:szCs w:val="22"/>
                <w:lang w:bidi="ar"/>
              </w:rPr>
              <w:br w:type="textWrapping"/>
            </w:r>
            <w:r>
              <w:rPr>
                <w:rFonts w:hint="eastAsia" w:ascii="宋体" w:hAnsi="宋体" w:cs="宋体"/>
                <w:sz w:val="22"/>
                <w:szCs w:val="22"/>
                <w:lang w:bidi="ar"/>
              </w:rPr>
              <w:t>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80B5248">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7D8830F2">
            <w:pPr>
              <w:widowControl/>
              <w:textAlignment w:val="center"/>
              <w:rPr>
                <w:rFonts w:hint="eastAsia" w:ascii="宋体" w:hAnsi="宋体" w:cs="宋体"/>
                <w:sz w:val="22"/>
                <w:szCs w:val="22"/>
              </w:rPr>
            </w:pPr>
            <w:r>
              <w:rPr>
                <w:rFonts w:hint="eastAsia" w:ascii="宋体" w:hAnsi="宋体" w:cs="宋体"/>
                <w:sz w:val="22"/>
                <w:szCs w:val="22"/>
                <w:lang w:bidi="ar"/>
              </w:rPr>
              <w:t>未建立安全生产规章制度的扣2分;建立的规章制度每缺一项扣0.5分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352975B9">
            <w:pPr>
              <w:rPr>
                <w:rFonts w:hint="eastAsia" w:ascii="宋体" w:hAnsi="宋体" w:cs="宋体"/>
                <w:sz w:val="22"/>
                <w:szCs w:val="22"/>
              </w:rPr>
            </w:pPr>
          </w:p>
        </w:tc>
      </w:tr>
      <w:tr w14:paraId="307345BB">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90B2F">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4A96DA6F">
            <w:pPr>
              <w:widowControl/>
              <w:textAlignment w:val="center"/>
              <w:rPr>
                <w:rFonts w:hint="eastAsia" w:ascii="宋体" w:hAnsi="宋体" w:cs="宋体"/>
                <w:sz w:val="22"/>
                <w:szCs w:val="22"/>
              </w:rPr>
            </w:pPr>
            <w:r>
              <w:rPr>
                <w:rFonts w:hint="eastAsia" w:ascii="宋体" w:hAnsi="宋体" w:cs="宋体"/>
                <w:sz w:val="22"/>
                <w:szCs w:val="22"/>
                <w:lang w:bidi="ar"/>
              </w:rPr>
              <w:t>3、建立各岗位安全生产职责与操作规程</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06295EC">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5BA67FD5">
            <w:pPr>
              <w:widowControl/>
              <w:textAlignment w:val="center"/>
              <w:rPr>
                <w:rFonts w:hint="eastAsia" w:ascii="宋体" w:hAnsi="宋体" w:cs="宋体"/>
                <w:sz w:val="22"/>
                <w:szCs w:val="22"/>
              </w:rPr>
            </w:pPr>
            <w:r>
              <w:rPr>
                <w:rFonts w:hint="eastAsia" w:ascii="宋体" w:hAnsi="宋体" w:cs="宋体"/>
                <w:sz w:val="22"/>
                <w:szCs w:val="22"/>
                <w:lang w:bidi="ar"/>
              </w:rPr>
              <w:t>未建立各岗位安全生产职责与操作规程的扣2分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0B98A7BC">
            <w:pPr>
              <w:rPr>
                <w:rFonts w:hint="eastAsia" w:ascii="宋体" w:hAnsi="宋体" w:cs="宋体"/>
                <w:sz w:val="22"/>
                <w:szCs w:val="22"/>
              </w:rPr>
            </w:pPr>
          </w:p>
        </w:tc>
      </w:tr>
      <w:tr w14:paraId="5E77DBD5">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EC1D13">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037E028F">
            <w:pPr>
              <w:widowControl/>
              <w:textAlignment w:val="center"/>
              <w:rPr>
                <w:rFonts w:hint="eastAsia" w:ascii="宋体" w:hAnsi="宋体" w:cs="宋体"/>
                <w:sz w:val="22"/>
                <w:szCs w:val="22"/>
              </w:rPr>
            </w:pPr>
            <w:r>
              <w:rPr>
                <w:rFonts w:hint="eastAsia" w:ascii="宋体" w:hAnsi="宋体" w:cs="宋体"/>
                <w:sz w:val="22"/>
                <w:szCs w:val="22"/>
                <w:lang w:bidi="ar"/>
              </w:rPr>
              <w:t>4、安全生产的资金投入</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6AE6F84">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0A3E7591">
            <w:pPr>
              <w:widowControl/>
              <w:textAlignment w:val="center"/>
              <w:rPr>
                <w:rFonts w:hint="eastAsia" w:ascii="宋体" w:hAnsi="宋体" w:cs="宋体"/>
                <w:sz w:val="22"/>
                <w:szCs w:val="22"/>
              </w:rPr>
            </w:pPr>
            <w:r>
              <w:rPr>
                <w:rFonts w:hint="eastAsia" w:ascii="宋体" w:hAnsi="宋体" w:cs="宋体"/>
                <w:sz w:val="22"/>
                <w:szCs w:val="22"/>
                <w:lang w:bidi="ar"/>
              </w:rPr>
              <w:t>未进行安全生产投入的扣2分;存在较大事故隐患未投入资金改造的每一项扣1分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3254D7F8">
            <w:pPr>
              <w:rPr>
                <w:rFonts w:hint="eastAsia" w:ascii="宋体" w:hAnsi="宋体" w:cs="宋体"/>
                <w:sz w:val="22"/>
                <w:szCs w:val="22"/>
              </w:rPr>
            </w:pPr>
          </w:p>
        </w:tc>
      </w:tr>
      <w:tr w14:paraId="56582D3A">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E17DFA">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78F4ACBE">
            <w:pPr>
              <w:widowControl/>
              <w:textAlignment w:val="center"/>
              <w:rPr>
                <w:rFonts w:hint="eastAsia" w:ascii="宋体" w:hAnsi="宋体" w:cs="宋体"/>
                <w:sz w:val="22"/>
                <w:szCs w:val="22"/>
              </w:rPr>
            </w:pPr>
            <w:r>
              <w:rPr>
                <w:rFonts w:hint="eastAsia" w:ascii="宋体" w:hAnsi="宋体" w:cs="宋体"/>
                <w:sz w:val="22"/>
                <w:szCs w:val="22"/>
                <w:lang w:bidi="ar"/>
              </w:rPr>
              <w:t>5、特种设备建档且定期检测检查合格后使用</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F528A97">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12AC717F">
            <w:pPr>
              <w:widowControl/>
              <w:textAlignment w:val="center"/>
              <w:rPr>
                <w:rFonts w:hint="eastAsia" w:ascii="宋体" w:hAnsi="宋体" w:cs="宋体"/>
                <w:sz w:val="22"/>
                <w:szCs w:val="22"/>
              </w:rPr>
            </w:pPr>
            <w:r>
              <w:rPr>
                <w:rFonts w:hint="eastAsia" w:ascii="宋体" w:hAnsi="宋体" w:cs="宋体"/>
                <w:sz w:val="22"/>
                <w:szCs w:val="22"/>
                <w:lang w:bidi="ar"/>
              </w:rPr>
              <w:t>未经检测检查合格使用的每一项扣2分</w:t>
            </w:r>
            <w:r>
              <w:rPr>
                <w:rFonts w:hint="eastAsia" w:ascii="宋体" w:hAnsi="宋体" w:cs="宋体"/>
                <w:sz w:val="22"/>
                <w:szCs w:val="22"/>
                <w:lang w:bidi="ar"/>
              </w:rPr>
              <w:br w:type="textWrapping"/>
            </w:r>
            <w:r>
              <w:rPr>
                <w:rFonts w:hint="eastAsia" w:ascii="宋体" w:hAnsi="宋体" w:cs="宋体"/>
                <w:sz w:val="22"/>
                <w:szCs w:val="22"/>
                <w:lang w:bidi="ar"/>
              </w:rPr>
              <w:t>未建立档案资料的扣1分超期未复检每一项扣1分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7CA2E617">
            <w:pPr>
              <w:rPr>
                <w:rFonts w:hint="eastAsia" w:ascii="宋体" w:hAnsi="宋体" w:cs="宋体"/>
                <w:sz w:val="22"/>
                <w:szCs w:val="22"/>
              </w:rPr>
            </w:pPr>
          </w:p>
        </w:tc>
      </w:tr>
      <w:tr w14:paraId="05BE2FBF">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05BEFB">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01732F64">
            <w:pPr>
              <w:widowControl/>
              <w:textAlignment w:val="center"/>
              <w:rPr>
                <w:rFonts w:hint="eastAsia" w:ascii="宋体" w:hAnsi="宋体" w:cs="宋体"/>
                <w:sz w:val="22"/>
                <w:szCs w:val="22"/>
              </w:rPr>
            </w:pPr>
            <w:r>
              <w:rPr>
                <w:rFonts w:hint="eastAsia" w:ascii="宋体" w:hAnsi="宋体" w:cs="宋体"/>
                <w:sz w:val="22"/>
                <w:szCs w:val="22"/>
                <w:lang w:bidi="ar"/>
              </w:rPr>
              <w:t>6、新建、改建、扩建建设项目开展安全设施“三同时”</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CA3E5AE">
            <w:pPr>
              <w:widowControl/>
              <w:jc w:val="center"/>
              <w:textAlignment w:val="center"/>
              <w:rPr>
                <w:rFonts w:hint="eastAsia" w:ascii="宋体" w:hAnsi="宋体" w:cs="宋体"/>
                <w:sz w:val="22"/>
                <w:szCs w:val="22"/>
              </w:rPr>
            </w:pPr>
            <w:r>
              <w:rPr>
                <w:rFonts w:hint="eastAsia" w:ascii="宋体" w:hAnsi="宋体" w:cs="宋体"/>
                <w:sz w:val="22"/>
                <w:szCs w:val="22"/>
                <w:lang w:bidi="ar"/>
              </w:rPr>
              <w:t>6</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28D14DAF">
            <w:pPr>
              <w:widowControl/>
              <w:textAlignment w:val="center"/>
              <w:rPr>
                <w:rFonts w:hint="eastAsia" w:ascii="宋体" w:hAnsi="宋体" w:cs="宋体"/>
                <w:sz w:val="22"/>
                <w:szCs w:val="22"/>
              </w:rPr>
            </w:pPr>
            <w:r>
              <w:rPr>
                <w:rFonts w:hint="eastAsia" w:ascii="宋体" w:hAnsi="宋体" w:cs="宋体"/>
                <w:sz w:val="22"/>
                <w:szCs w:val="22"/>
                <w:lang w:bidi="ar"/>
              </w:rPr>
              <w:t>未按照规定对新建、改建、扩建的建设项目开展安全设施“三同时”的扣 2 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700C04F2">
            <w:pPr>
              <w:rPr>
                <w:rFonts w:hint="eastAsia" w:ascii="宋体" w:hAnsi="宋体" w:cs="宋体"/>
                <w:sz w:val="22"/>
                <w:szCs w:val="22"/>
              </w:rPr>
            </w:pPr>
          </w:p>
        </w:tc>
      </w:tr>
      <w:tr w14:paraId="30E0920A">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F9CEEC">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67727239">
            <w:pPr>
              <w:widowControl/>
              <w:textAlignment w:val="center"/>
              <w:rPr>
                <w:rFonts w:hint="eastAsia" w:ascii="宋体" w:hAnsi="宋体" w:cs="宋体"/>
                <w:sz w:val="22"/>
                <w:szCs w:val="22"/>
              </w:rPr>
            </w:pPr>
            <w:r>
              <w:rPr>
                <w:rFonts w:hint="eastAsia" w:ascii="宋体" w:hAnsi="宋体" w:cs="宋体"/>
                <w:sz w:val="22"/>
                <w:szCs w:val="22"/>
                <w:lang w:bidi="ar"/>
              </w:rPr>
              <w:t>7、承发包工程、厂房场合、特种设备租赁签订安全合同，明确安全责任</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88F4B91">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39699304">
            <w:pPr>
              <w:widowControl/>
              <w:textAlignment w:val="center"/>
              <w:rPr>
                <w:rFonts w:hint="eastAsia" w:ascii="宋体" w:hAnsi="宋体" w:cs="宋体"/>
                <w:sz w:val="22"/>
                <w:szCs w:val="22"/>
              </w:rPr>
            </w:pPr>
            <w:r>
              <w:rPr>
                <w:rFonts w:hint="eastAsia" w:ascii="宋体" w:hAnsi="宋体" w:cs="宋体"/>
                <w:sz w:val="22"/>
                <w:szCs w:val="22"/>
                <w:lang w:bidi="ar"/>
              </w:rPr>
              <w:t>承发包工程、厂房场合、特种设备租赁未签订安全合同，并明确安全责任的扣 10 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429F8A1E">
            <w:pPr>
              <w:rPr>
                <w:rFonts w:hint="eastAsia" w:ascii="宋体" w:hAnsi="宋体" w:cs="宋体"/>
                <w:sz w:val="22"/>
                <w:szCs w:val="22"/>
              </w:rPr>
            </w:pPr>
          </w:p>
        </w:tc>
      </w:tr>
      <w:tr w14:paraId="0D8C9E02">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B0D235">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19F0E2BA">
            <w:pPr>
              <w:widowControl/>
              <w:textAlignment w:val="center"/>
              <w:rPr>
                <w:rFonts w:hint="eastAsia" w:ascii="宋体" w:hAnsi="宋体" w:cs="宋体"/>
                <w:sz w:val="22"/>
                <w:szCs w:val="22"/>
              </w:rPr>
            </w:pPr>
            <w:r>
              <w:rPr>
                <w:rFonts w:hint="eastAsia" w:ascii="宋体" w:hAnsi="宋体" w:cs="宋体"/>
                <w:sz w:val="22"/>
                <w:szCs w:val="22"/>
                <w:lang w:bidi="ar"/>
              </w:rPr>
              <w:t>8、厂房与场合租赁按规定履行安全管理职责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D5EEEB2">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4AE9130D">
            <w:pPr>
              <w:widowControl/>
              <w:textAlignment w:val="center"/>
              <w:rPr>
                <w:rFonts w:hint="eastAsia" w:ascii="宋体" w:hAnsi="宋体" w:cs="宋体"/>
                <w:sz w:val="22"/>
                <w:szCs w:val="22"/>
              </w:rPr>
            </w:pPr>
            <w:r>
              <w:rPr>
                <w:rFonts w:hint="eastAsia" w:ascii="宋体" w:hAnsi="宋体" w:cs="宋体"/>
                <w:sz w:val="22"/>
                <w:szCs w:val="22"/>
                <w:lang w:bidi="ar"/>
              </w:rPr>
              <w:t>厂房与场合租赁未按规定或条款商定履行安全管理职责，每一项扣2分。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7AC8054F">
            <w:pPr>
              <w:rPr>
                <w:rFonts w:hint="eastAsia" w:ascii="宋体" w:hAnsi="宋体" w:cs="宋体"/>
                <w:sz w:val="22"/>
                <w:szCs w:val="22"/>
              </w:rPr>
            </w:pPr>
          </w:p>
        </w:tc>
      </w:tr>
      <w:tr w14:paraId="7646075A">
        <w:tblPrEx>
          <w:tblCellMar>
            <w:top w:w="0" w:type="dxa"/>
            <w:left w:w="108" w:type="dxa"/>
            <w:bottom w:w="0" w:type="dxa"/>
            <w:right w:w="108" w:type="dxa"/>
          </w:tblCellMar>
        </w:tblPrEx>
        <w:trPr>
          <w:trHeight w:val="850" w:hRule="atLeast"/>
        </w:trPr>
        <w:tc>
          <w:tcPr>
            <w:tcW w:w="625" w:type="pct"/>
            <w:vMerge w:val="restart"/>
            <w:tcBorders>
              <w:top w:val="single" w:color="000000" w:sz="4" w:space="0"/>
              <w:left w:val="single" w:color="000000" w:sz="4" w:space="0"/>
              <w:bottom w:val="single" w:color="000000" w:sz="4" w:space="0"/>
              <w:right w:val="single" w:color="000000" w:sz="4" w:space="0"/>
            </w:tcBorders>
            <w:noWrap w:val="0"/>
            <w:vAlign w:val="center"/>
          </w:tcPr>
          <w:p w14:paraId="0E300013">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六、场所基本条件（30分）</w:t>
            </w: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709449A4">
            <w:pPr>
              <w:widowControl/>
              <w:textAlignment w:val="center"/>
              <w:rPr>
                <w:rFonts w:hint="eastAsia" w:ascii="宋体" w:hAnsi="宋体" w:cs="宋体"/>
                <w:sz w:val="22"/>
                <w:szCs w:val="22"/>
              </w:rPr>
            </w:pPr>
            <w:r>
              <w:rPr>
                <w:rFonts w:hint="eastAsia" w:ascii="宋体" w:hAnsi="宋体" w:cs="宋体"/>
                <w:sz w:val="22"/>
                <w:szCs w:val="22"/>
                <w:lang w:bidi="ar"/>
              </w:rPr>
              <w:t>1、重点部位和重大危险源实行有效监控</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0CA115F">
            <w:pPr>
              <w:widowControl/>
              <w:jc w:val="center"/>
              <w:textAlignment w:val="center"/>
              <w:rPr>
                <w:rFonts w:hint="eastAsia" w:ascii="宋体" w:hAnsi="宋体" w:cs="宋体"/>
                <w:sz w:val="22"/>
                <w:szCs w:val="22"/>
              </w:rPr>
            </w:pPr>
            <w:r>
              <w:rPr>
                <w:rFonts w:hint="eastAsia" w:ascii="宋体" w:hAnsi="宋体" w:cs="宋体"/>
                <w:sz w:val="22"/>
                <w:szCs w:val="22"/>
                <w:lang w:bidi="ar"/>
              </w:rPr>
              <w:t>5</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6789D36F">
            <w:pPr>
              <w:widowControl/>
              <w:textAlignment w:val="center"/>
              <w:rPr>
                <w:rFonts w:hint="eastAsia" w:ascii="宋体" w:hAnsi="宋体" w:cs="宋体"/>
                <w:sz w:val="22"/>
                <w:szCs w:val="22"/>
              </w:rPr>
            </w:pPr>
            <w:r>
              <w:rPr>
                <w:rFonts w:hint="eastAsia" w:ascii="宋体" w:hAnsi="宋体" w:cs="宋体"/>
                <w:sz w:val="22"/>
                <w:szCs w:val="22"/>
                <w:lang w:bidi="ar"/>
              </w:rPr>
              <w:t>未采取监控管理措施的扣 2分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17D71C19">
            <w:pPr>
              <w:rPr>
                <w:rFonts w:hint="eastAsia" w:ascii="宋体" w:hAnsi="宋体" w:cs="宋体"/>
                <w:sz w:val="22"/>
                <w:szCs w:val="22"/>
              </w:rPr>
            </w:pPr>
          </w:p>
        </w:tc>
      </w:tr>
      <w:tr w14:paraId="10389BB6">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D70109">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462C6528">
            <w:pPr>
              <w:widowControl/>
              <w:textAlignment w:val="center"/>
              <w:rPr>
                <w:rFonts w:hint="eastAsia" w:ascii="宋体" w:hAnsi="宋体" w:cs="宋体"/>
                <w:sz w:val="22"/>
                <w:szCs w:val="22"/>
              </w:rPr>
            </w:pPr>
            <w:r>
              <w:rPr>
                <w:rFonts w:hint="eastAsia" w:ascii="宋体" w:hAnsi="宋体" w:cs="宋体"/>
                <w:sz w:val="22"/>
                <w:szCs w:val="22"/>
                <w:lang w:bidi="ar"/>
              </w:rPr>
              <w:t>2、作业场合设施与建筑构造符合国家规定和原则</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ADAA5C6">
            <w:pPr>
              <w:widowControl/>
              <w:jc w:val="center"/>
              <w:textAlignment w:val="center"/>
              <w:rPr>
                <w:rFonts w:hint="eastAsia" w:ascii="宋体" w:hAnsi="宋体" w:cs="宋体"/>
                <w:sz w:val="22"/>
                <w:szCs w:val="22"/>
              </w:rPr>
            </w:pPr>
            <w:r>
              <w:rPr>
                <w:rFonts w:hint="eastAsia" w:ascii="宋体" w:hAnsi="宋体" w:cs="宋体"/>
                <w:sz w:val="22"/>
                <w:szCs w:val="22"/>
                <w:lang w:bidi="ar"/>
              </w:rPr>
              <w:t>5</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44E9F518">
            <w:pPr>
              <w:widowControl/>
              <w:textAlignment w:val="center"/>
              <w:rPr>
                <w:rFonts w:hint="eastAsia" w:ascii="宋体" w:hAnsi="宋体" w:cs="宋体"/>
                <w:sz w:val="22"/>
                <w:szCs w:val="22"/>
              </w:rPr>
            </w:pPr>
            <w:r>
              <w:rPr>
                <w:rFonts w:hint="eastAsia" w:ascii="宋体" w:hAnsi="宋体" w:cs="宋体"/>
                <w:sz w:val="22"/>
                <w:szCs w:val="22"/>
                <w:lang w:bidi="ar"/>
              </w:rPr>
              <w:t>作业场合设施与建筑构造总体不符合国家规定和原则的扣2分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52225AFB">
            <w:pPr>
              <w:rPr>
                <w:rFonts w:hint="eastAsia" w:ascii="宋体" w:hAnsi="宋体" w:cs="宋体"/>
                <w:sz w:val="22"/>
                <w:szCs w:val="22"/>
              </w:rPr>
            </w:pPr>
          </w:p>
        </w:tc>
      </w:tr>
      <w:tr w14:paraId="58021C65">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301F5E">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488874B6">
            <w:pPr>
              <w:widowControl/>
              <w:textAlignment w:val="center"/>
              <w:rPr>
                <w:rFonts w:hint="eastAsia" w:ascii="宋体" w:hAnsi="宋体" w:cs="宋体"/>
                <w:sz w:val="22"/>
                <w:szCs w:val="22"/>
              </w:rPr>
            </w:pPr>
            <w:r>
              <w:rPr>
                <w:rFonts w:hint="eastAsia" w:ascii="宋体" w:hAnsi="宋体" w:cs="宋体"/>
                <w:sz w:val="22"/>
                <w:szCs w:val="22"/>
                <w:lang w:bidi="ar"/>
              </w:rPr>
              <w:t>3、电气设备选用布置和临时电线架设符合电气规程原则</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AFA6B1A">
            <w:pPr>
              <w:widowControl/>
              <w:jc w:val="center"/>
              <w:textAlignment w:val="center"/>
              <w:rPr>
                <w:rFonts w:hint="eastAsia" w:ascii="宋体" w:hAnsi="宋体" w:cs="宋体"/>
                <w:sz w:val="22"/>
                <w:szCs w:val="22"/>
              </w:rPr>
            </w:pPr>
            <w:r>
              <w:rPr>
                <w:rFonts w:hint="eastAsia" w:ascii="宋体" w:hAnsi="宋体" w:cs="宋体"/>
                <w:sz w:val="22"/>
                <w:szCs w:val="22"/>
                <w:lang w:bidi="ar"/>
              </w:rPr>
              <w:t>3</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2D0F99FB">
            <w:pPr>
              <w:widowControl/>
              <w:textAlignment w:val="center"/>
              <w:rPr>
                <w:rFonts w:hint="eastAsia" w:ascii="宋体" w:hAnsi="宋体" w:cs="宋体"/>
                <w:sz w:val="22"/>
                <w:szCs w:val="22"/>
              </w:rPr>
            </w:pPr>
            <w:r>
              <w:rPr>
                <w:rFonts w:hint="eastAsia" w:ascii="宋体" w:hAnsi="宋体" w:cs="宋体"/>
                <w:sz w:val="22"/>
                <w:szCs w:val="22"/>
                <w:lang w:bidi="ar"/>
              </w:rPr>
              <w:t>防爆区域未采用相应级别电气用品的扣 1 分;</w:t>
            </w:r>
            <w:r>
              <w:rPr>
                <w:rFonts w:hint="eastAsia" w:ascii="宋体" w:hAnsi="宋体" w:cs="宋体"/>
                <w:sz w:val="22"/>
                <w:szCs w:val="22"/>
                <w:lang w:bidi="ar"/>
              </w:rPr>
              <w:br w:type="textWrapping"/>
            </w:r>
            <w:r>
              <w:rPr>
                <w:rFonts w:hint="eastAsia" w:ascii="宋体" w:hAnsi="宋体" w:cs="宋体"/>
                <w:sz w:val="22"/>
                <w:szCs w:val="22"/>
                <w:lang w:bidi="ar"/>
              </w:rPr>
              <w:t>电气设备选用布置不符合电气原则的扣 1 分;</w:t>
            </w:r>
            <w:r>
              <w:rPr>
                <w:rFonts w:hint="eastAsia" w:ascii="宋体" w:hAnsi="宋体" w:cs="宋体"/>
                <w:sz w:val="22"/>
                <w:szCs w:val="22"/>
                <w:lang w:bidi="ar"/>
              </w:rPr>
              <w:br w:type="textWrapping"/>
            </w:r>
            <w:r>
              <w:rPr>
                <w:rFonts w:hint="eastAsia" w:ascii="宋体" w:hAnsi="宋体" w:cs="宋体"/>
                <w:sz w:val="22"/>
                <w:szCs w:val="22"/>
                <w:lang w:bidi="ar"/>
              </w:rPr>
              <w:t>私接乱拉临时电线的每一次扣 1分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1DE3E049">
            <w:pPr>
              <w:rPr>
                <w:rFonts w:hint="eastAsia" w:ascii="宋体" w:hAnsi="宋体" w:cs="宋体"/>
                <w:sz w:val="22"/>
                <w:szCs w:val="22"/>
              </w:rPr>
            </w:pPr>
          </w:p>
        </w:tc>
      </w:tr>
      <w:tr w14:paraId="3004FAC9">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1BEC29">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2B76BB6F">
            <w:pPr>
              <w:widowControl/>
              <w:textAlignment w:val="center"/>
              <w:rPr>
                <w:rFonts w:hint="eastAsia" w:ascii="宋体" w:hAnsi="宋体" w:cs="宋体"/>
                <w:sz w:val="22"/>
                <w:szCs w:val="22"/>
              </w:rPr>
            </w:pPr>
            <w:r>
              <w:rPr>
                <w:rFonts w:hint="eastAsia" w:ascii="宋体" w:hAnsi="宋体" w:cs="宋体"/>
                <w:sz w:val="22"/>
                <w:szCs w:val="22"/>
                <w:lang w:bidi="ar"/>
              </w:rPr>
              <w:t>4、消防设施按规定配备且保持应急状态</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091EFC2">
            <w:pPr>
              <w:widowControl/>
              <w:jc w:val="center"/>
              <w:textAlignment w:val="center"/>
              <w:rPr>
                <w:rFonts w:hint="eastAsia" w:ascii="宋体" w:hAnsi="宋体" w:cs="宋体"/>
                <w:sz w:val="22"/>
                <w:szCs w:val="22"/>
              </w:rPr>
            </w:pPr>
            <w:r>
              <w:rPr>
                <w:rFonts w:hint="eastAsia" w:ascii="宋体" w:hAnsi="宋体" w:cs="宋体"/>
                <w:sz w:val="22"/>
                <w:szCs w:val="22"/>
                <w:lang w:bidi="ar"/>
              </w:rPr>
              <w:t>3</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0678CF3A">
            <w:pPr>
              <w:widowControl/>
              <w:textAlignment w:val="center"/>
              <w:rPr>
                <w:rFonts w:hint="eastAsia" w:ascii="宋体" w:hAnsi="宋体" w:cs="宋体"/>
                <w:sz w:val="22"/>
                <w:szCs w:val="22"/>
              </w:rPr>
            </w:pPr>
            <w:r>
              <w:rPr>
                <w:rFonts w:hint="eastAsia" w:ascii="宋体" w:hAnsi="宋体" w:cs="宋体"/>
                <w:sz w:val="22"/>
                <w:szCs w:val="22"/>
                <w:lang w:bidi="ar"/>
              </w:rPr>
              <w:t>未配备的扣3分;</w:t>
            </w:r>
            <w:r>
              <w:rPr>
                <w:rFonts w:hint="eastAsia" w:ascii="宋体" w:hAnsi="宋体" w:cs="宋体"/>
                <w:sz w:val="22"/>
                <w:szCs w:val="22"/>
                <w:lang w:bidi="ar"/>
              </w:rPr>
              <w:br w:type="textWrapping"/>
            </w:r>
            <w:r>
              <w:rPr>
                <w:rFonts w:hint="eastAsia" w:ascii="宋体" w:hAnsi="宋体" w:cs="宋体"/>
                <w:sz w:val="22"/>
                <w:szCs w:val="22"/>
                <w:lang w:bidi="ar"/>
              </w:rPr>
              <w:t>配备不符合规定的扣1分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516CEDBD">
            <w:pPr>
              <w:rPr>
                <w:rFonts w:hint="eastAsia" w:ascii="宋体" w:hAnsi="宋体" w:cs="宋体"/>
                <w:sz w:val="22"/>
                <w:szCs w:val="22"/>
              </w:rPr>
            </w:pPr>
          </w:p>
        </w:tc>
      </w:tr>
      <w:tr w14:paraId="232B5744">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2D5562">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1AA113F8">
            <w:pPr>
              <w:widowControl/>
              <w:textAlignment w:val="center"/>
              <w:rPr>
                <w:rFonts w:hint="eastAsia" w:ascii="宋体" w:hAnsi="宋体" w:cs="宋体"/>
                <w:sz w:val="22"/>
                <w:szCs w:val="22"/>
              </w:rPr>
            </w:pPr>
            <w:r>
              <w:rPr>
                <w:rFonts w:hint="eastAsia" w:ascii="宋体" w:hAnsi="宋体" w:cs="宋体"/>
                <w:sz w:val="22"/>
                <w:szCs w:val="22"/>
                <w:lang w:bidi="ar"/>
              </w:rPr>
              <w:t>5、生产设备与作业场合安全防护设施齐全</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2E8D42D">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5EA22D1E">
            <w:pPr>
              <w:widowControl/>
              <w:textAlignment w:val="center"/>
              <w:rPr>
                <w:rFonts w:hint="eastAsia" w:ascii="宋体" w:hAnsi="宋体" w:cs="宋体"/>
                <w:sz w:val="22"/>
                <w:szCs w:val="22"/>
              </w:rPr>
            </w:pPr>
            <w:r>
              <w:rPr>
                <w:rFonts w:hint="eastAsia" w:ascii="宋体" w:hAnsi="宋体" w:cs="宋体"/>
                <w:sz w:val="22"/>
                <w:szCs w:val="22"/>
                <w:lang w:bidi="ar"/>
              </w:rPr>
              <w:t>未设立防护设施的扣2分;缺损的每处扣1分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44B45159">
            <w:pPr>
              <w:rPr>
                <w:rFonts w:hint="eastAsia" w:ascii="宋体" w:hAnsi="宋体" w:cs="宋体"/>
                <w:sz w:val="22"/>
                <w:szCs w:val="22"/>
              </w:rPr>
            </w:pPr>
          </w:p>
        </w:tc>
      </w:tr>
      <w:tr w14:paraId="29F11D29">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E47E5E">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5770D16A">
            <w:pPr>
              <w:widowControl/>
              <w:textAlignment w:val="center"/>
              <w:rPr>
                <w:rFonts w:hint="eastAsia" w:ascii="宋体" w:hAnsi="宋体" w:cs="宋体"/>
                <w:sz w:val="22"/>
                <w:szCs w:val="22"/>
              </w:rPr>
            </w:pPr>
            <w:r>
              <w:rPr>
                <w:rFonts w:hint="eastAsia" w:ascii="宋体" w:hAnsi="宋体" w:cs="宋体"/>
                <w:sz w:val="22"/>
                <w:szCs w:val="22"/>
                <w:lang w:bidi="ar"/>
              </w:rPr>
              <w:t>6、危险作业场合设立明显安全警示标志</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749B746">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2B14B4F6">
            <w:pPr>
              <w:widowControl/>
              <w:textAlignment w:val="center"/>
              <w:rPr>
                <w:rFonts w:hint="eastAsia" w:ascii="宋体" w:hAnsi="宋体" w:cs="宋体"/>
                <w:sz w:val="22"/>
                <w:szCs w:val="22"/>
              </w:rPr>
            </w:pPr>
            <w:r>
              <w:rPr>
                <w:rFonts w:hint="eastAsia" w:ascii="宋体" w:hAnsi="宋体" w:cs="宋体"/>
                <w:sz w:val="22"/>
                <w:szCs w:val="22"/>
                <w:lang w:bidi="ar"/>
              </w:rPr>
              <w:t>未设立安全警示标志的扣2分;只设立部分安全警示标志的扣1分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418D9D25">
            <w:pPr>
              <w:rPr>
                <w:rFonts w:hint="eastAsia" w:ascii="宋体" w:hAnsi="宋体" w:cs="宋体"/>
                <w:sz w:val="22"/>
                <w:szCs w:val="22"/>
              </w:rPr>
            </w:pPr>
          </w:p>
        </w:tc>
      </w:tr>
      <w:tr w14:paraId="00BCFE7D">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74095F">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16DD545E">
            <w:pPr>
              <w:widowControl/>
              <w:textAlignment w:val="center"/>
              <w:rPr>
                <w:rFonts w:hint="eastAsia" w:ascii="宋体" w:hAnsi="宋体" w:cs="宋体"/>
                <w:sz w:val="22"/>
                <w:szCs w:val="22"/>
              </w:rPr>
            </w:pPr>
            <w:r>
              <w:rPr>
                <w:rFonts w:hint="eastAsia" w:ascii="宋体" w:hAnsi="宋体" w:cs="宋体"/>
                <w:sz w:val="22"/>
                <w:szCs w:val="22"/>
                <w:lang w:bidi="ar"/>
              </w:rPr>
              <w:t>7、作业现场粉尘、有毒有害气体、噪声等符合要求</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745B7F0">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2C40245F">
            <w:pPr>
              <w:widowControl/>
              <w:textAlignment w:val="center"/>
              <w:rPr>
                <w:rFonts w:hint="eastAsia" w:ascii="宋体" w:hAnsi="宋体" w:cs="宋体"/>
                <w:sz w:val="22"/>
                <w:szCs w:val="22"/>
              </w:rPr>
            </w:pPr>
            <w:r>
              <w:rPr>
                <w:rFonts w:hint="eastAsia" w:ascii="宋体" w:hAnsi="宋体" w:cs="宋体"/>
                <w:sz w:val="22"/>
                <w:szCs w:val="22"/>
                <w:lang w:bidi="ar"/>
              </w:rPr>
              <w:t>同一场合每一项不符合原则的扣1分</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EEE6D27">
            <w:pPr>
              <w:rPr>
                <w:rFonts w:hint="eastAsia" w:ascii="宋体" w:hAnsi="宋体" w:cs="宋体"/>
                <w:sz w:val="22"/>
                <w:szCs w:val="22"/>
              </w:rPr>
            </w:pPr>
          </w:p>
        </w:tc>
      </w:tr>
      <w:tr w14:paraId="7C15B360">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165268">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0E7A3523">
            <w:pPr>
              <w:widowControl/>
              <w:textAlignment w:val="center"/>
              <w:rPr>
                <w:rFonts w:hint="eastAsia" w:ascii="宋体" w:hAnsi="宋体" w:cs="宋体"/>
                <w:sz w:val="22"/>
                <w:szCs w:val="22"/>
              </w:rPr>
            </w:pPr>
            <w:r>
              <w:rPr>
                <w:rFonts w:hint="eastAsia" w:ascii="宋体" w:hAnsi="宋体" w:cs="宋体"/>
                <w:sz w:val="22"/>
                <w:szCs w:val="22"/>
                <w:lang w:bidi="ar"/>
              </w:rPr>
              <w:t>8、人员密集作业场合通道与出口符合规定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4EB2A92">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5F86E83E">
            <w:pPr>
              <w:widowControl/>
              <w:textAlignment w:val="center"/>
              <w:rPr>
                <w:rFonts w:hint="eastAsia" w:ascii="宋体" w:hAnsi="宋体" w:cs="宋体"/>
                <w:sz w:val="22"/>
                <w:szCs w:val="22"/>
              </w:rPr>
            </w:pPr>
            <w:r>
              <w:rPr>
                <w:rFonts w:hint="eastAsia" w:ascii="宋体" w:hAnsi="宋体" w:cs="宋体"/>
                <w:sz w:val="22"/>
                <w:szCs w:val="22"/>
                <w:lang w:bidi="ar"/>
              </w:rPr>
              <w:t>堵塞、封闭、占用疏散通道的扣2分;安全出口处的醒示标志不醒目扣1分</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B8769ED">
            <w:pPr>
              <w:rPr>
                <w:rFonts w:hint="eastAsia" w:ascii="宋体" w:hAnsi="宋体" w:cs="宋体"/>
                <w:sz w:val="22"/>
                <w:szCs w:val="22"/>
              </w:rPr>
            </w:pPr>
          </w:p>
        </w:tc>
      </w:tr>
      <w:tr w14:paraId="490EF322">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78604C">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61B9D792">
            <w:pPr>
              <w:widowControl/>
              <w:textAlignment w:val="center"/>
              <w:rPr>
                <w:rFonts w:hint="eastAsia" w:ascii="宋体" w:hAnsi="宋体" w:cs="宋体"/>
                <w:sz w:val="22"/>
                <w:szCs w:val="22"/>
              </w:rPr>
            </w:pPr>
            <w:r>
              <w:rPr>
                <w:rFonts w:hint="eastAsia" w:ascii="宋体" w:hAnsi="宋体" w:cs="宋体"/>
                <w:sz w:val="22"/>
                <w:szCs w:val="22"/>
                <w:lang w:bidi="ar"/>
              </w:rPr>
              <w:t>9、作业及施工场合氧气、乙炔等可燃气瓶储放合理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AA3792A">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5390B4BD">
            <w:pPr>
              <w:widowControl/>
              <w:textAlignment w:val="center"/>
              <w:rPr>
                <w:rFonts w:hint="eastAsia" w:ascii="宋体" w:hAnsi="宋体" w:cs="宋体"/>
                <w:sz w:val="22"/>
                <w:szCs w:val="22"/>
              </w:rPr>
            </w:pPr>
            <w:r>
              <w:rPr>
                <w:rFonts w:hint="eastAsia" w:ascii="宋体" w:hAnsi="宋体" w:cs="宋体"/>
                <w:sz w:val="22"/>
                <w:szCs w:val="22"/>
                <w:lang w:bidi="ar"/>
              </w:rPr>
              <w:t>作业现场氧气、乙炔等可燃气瓶储放不合理，安全距离局限性的每处扣2分</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16A4C20">
            <w:pPr>
              <w:rPr>
                <w:rFonts w:hint="eastAsia" w:ascii="宋体" w:hAnsi="宋体" w:cs="宋体"/>
                <w:sz w:val="22"/>
                <w:szCs w:val="22"/>
              </w:rPr>
            </w:pPr>
          </w:p>
        </w:tc>
      </w:tr>
      <w:tr w14:paraId="4ACBCF62">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1E7393">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18241CCF">
            <w:pPr>
              <w:widowControl/>
              <w:textAlignment w:val="center"/>
              <w:rPr>
                <w:rFonts w:hint="eastAsia" w:ascii="宋体" w:hAnsi="宋体" w:cs="宋体"/>
                <w:sz w:val="22"/>
                <w:szCs w:val="22"/>
              </w:rPr>
            </w:pPr>
            <w:r>
              <w:rPr>
                <w:rFonts w:hint="eastAsia" w:ascii="宋体" w:hAnsi="宋体" w:cs="宋体"/>
                <w:sz w:val="22"/>
                <w:szCs w:val="22"/>
                <w:lang w:bidi="ar"/>
              </w:rPr>
              <w:t>10、电气接地、接零、防雷保护系统符合规定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425D221">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278FFE4A">
            <w:pPr>
              <w:widowControl/>
              <w:textAlignment w:val="center"/>
              <w:rPr>
                <w:rFonts w:hint="eastAsia" w:ascii="宋体" w:hAnsi="宋体" w:cs="宋体"/>
                <w:sz w:val="22"/>
                <w:szCs w:val="22"/>
              </w:rPr>
            </w:pPr>
            <w:r>
              <w:rPr>
                <w:rFonts w:hint="eastAsia" w:ascii="宋体" w:hAnsi="宋体" w:cs="宋体"/>
                <w:sz w:val="22"/>
                <w:szCs w:val="22"/>
                <w:lang w:bidi="ar"/>
              </w:rPr>
              <w:t>不符合规定的每项扣0.5分</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99214BB">
            <w:pPr>
              <w:rPr>
                <w:rFonts w:hint="eastAsia" w:ascii="宋体" w:hAnsi="宋体" w:cs="宋体"/>
                <w:sz w:val="22"/>
                <w:szCs w:val="22"/>
              </w:rPr>
            </w:pPr>
          </w:p>
        </w:tc>
      </w:tr>
      <w:tr w14:paraId="19998433">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946131">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62B40EDB">
            <w:pPr>
              <w:widowControl/>
              <w:textAlignment w:val="center"/>
              <w:rPr>
                <w:rFonts w:hint="eastAsia" w:ascii="宋体" w:hAnsi="宋体" w:cs="宋体"/>
                <w:sz w:val="22"/>
                <w:szCs w:val="22"/>
              </w:rPr>
            </w:pPr>
            <w:r>
              <w:rPr>
                <w:rFonts w:hint="eastAsia" w:ascii="宋体" w:hAnsi="宋体" w:cs="宋体"/>
                <w:sz w:val="22"/>
                <w:szCs w:val="22"/>
                <w:lang w:bidi="ar"/>
              </w:rPr>
              <w:t>11、特种设备安全防护设施正常可靠</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019AC14">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6DE6706F">
            <w:pPr>
              <w:widowControl/>
              <w:textAlignment w:val="center"/>
              <w:rPr>
                <w:rFonts w:hint="eastAsia" w:ascii="宋体" w:hAnsi="宋体" w:cs="宋体"/>
                <w:sz w:val="22"/>
                <w:szCs w:val="22"/>
              </w:rPr>
            </w:pPr>
            <w:r>
              <w:rPr>
                <w:rFonts w:hint="eastAsia" w:ascii="宋体" w:hAnsi="宋体" w:cs="宋体"/>
                <w:sz w:val="22"/>
                <w:szCs w:val="22"/>
                <w:lang w:bidi="ar"/>
              </w:rPr>
              <w:t>安全防护装置等不正常的每处扣1分</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0F500E9">
            <w:pPr>
              <w:rPr>
                <w:rFonts w:hint="eastAsia" w:ascii="宋体" w:hAnsi="宋体" w:cs="宋体"/>
                <w:sz w:val="22"/>
                <w:szCs w:val="22"/>
              </w:rPr>
            </w:pPr>
          </w:p>
        </w:tc>
      </w:tr>
      <w:tr w14:paraId="623CEA4A">
        <w:tblPrEx>
          <w:tblCellMar>
            <w:top w:w="0" w:type="dxa"/>
            <w:left w:w="108" w:type="dxa"/>
            <w:bottom w:w="0" w:type="dxa"/>
            <w:right w:w="108" w:type="dxa"/>
          </w:tblCellMar>
        </w:tblPrEx>
        <w:trPr>
          <w:trHeight w:val="850" w:hRule="atLeast"/>
        </w:trPr>
        <w:tc>
          <w:tcPr>
            <w:tcW w:w="625" w:type="pct"/>
            <w:vMerge w:val="restart"/>
            <w:tcBorders>
              <w:top w:val="single" w:color="000000" w:sz="4" w:space="0"/>
              <w:left w:val="single" w:color="000000" w:sz="4" w:space="0"/>
              <w:bottom w:val="single" w:color="000000" w:sz="4" w:space="0"/>
              <w:right w:val="single" w:color="000000" w:sz="4" w:space="0"/>
            </w:tcBorders>
            <w:noWrap w:val="0"/>
            <w:vAlign w:val="center"/>
          </w:tcPr>
          <w:p w14:paraId="33A7A88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七、事故管理（10分）</w:t>
            </w: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42166A50">
            <w:pPr>
              <w:widowControl/>
              <w:textAlignment w:val="center"/>
              <w:rPr>
                <w:rFonts w:hint="eastAsia" w:ascii="宋体" w:hAnsi="宋体" w:cs="宋体"/>
                <w:sz w:val="22"/>
                <w:szCs w:val="22"/>
              </w:rPr>
            </w:pPr>
            <w:r>
              <w:rPr>
                <w:rFonts w:hint="eastAsia" w:ascii="宋体" w:hAnsi="宋体" w:cs="宋体"/>
                <w:sz w:val="22"/>
                <w:szCs w:val="22"/>
                <w:lang w:bidi="ar"/>
              </w:rPr>
              <w:t>1、按“四不放过”原则吸取事故教训，贯彻整治措施</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7F01905">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279AF326">
            <w:pPr>
              <w:widowControl/>
              <w:textAlignment w:val="center"/>
              <w:rPr>
                <w:rFonts w:hint="eastAsia" w:ascii="宋体" w:hAnsi="宋体" w:cs="宋体"/>
                <w:sz w:val="22"/>
                <w:szCs w:val="22"/>
              </w:rPr>
            </w:pPr>
            <w:r>
              <w:rPr>
                <w:rFonts w:hint="eastAsia" w:ascii="宋体" w:hAnsi="宋体" w:cs="宋体"/>
                <w:sz w:val="22"/>
                <w:szCs w:val="22"/>
                <w:lang w:bidi="ar"/>
              </w:rPr>
              <w:t>未按“四不放过”原则吸取事故教训，贯彻整治措施的扣2分</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D60CB51">
            <w:pPr>
              <w:rPr>
                <w:rFonts w:hint="eastAsia" w:ascii="宋体" w:hAnsi="宋体" w:cs="宋体"/>
                <w:sz w:val="22"/>
                <w:szCs w:val="22"/>
              </w:rPr>
            </w:pPr>
          </w:p>
        </w:tc>
      </w:tr>
      <w:tr w14:paraId="6B70C43C">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B366CC">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16C299FF">
            <w:pPr>
              <w:widowControl/>
              <w:textAlignment w:val="center"/>
              <w:rPr>
                <w:rFonts w:hint="eastAsia" w:ascii="宋体" w:hAnsi="宋体" w:cs="宋体"/>
                <w:sz w:val="22"/>
                <w:szCs w:val="22"/>
              </w:rPr>
            </w:pPr>
            <w:r>
              <w:rPr>
                <w:rFonts w:hint="eastAsia" w:ascii="宋体" w:hAnsi="宋体" w:cs="宋体"/>
                <w:sz w:val="22"/>
                <w:szCs w:val="22"/>
                <w:lang w:bidi="ar"/>
              </w:rPr>
              <w:t>2、按规定及时如实报告事故</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A24A2F1">
            <w:pPr>
              <w:widowControl/>
              <w:jc w:val="center"/>
              <w:textAlignment w:val="center"/>
              <w:rPr>
                <w:rFonts w:hint="eastAsia" w:ascii="宋体" w:hAnsi="宋体" w:cs="宋体"/>
                <w:sz w:val="22"/>
                <w:szCs w:val="22"/>
              </w:rPr>
            </w:pPr>
            <w:r>
              <w:rPr>
                <w:rFonts w:hint="eastAsia" w:ascii="宋体" w:hAnsi="宋体" w:cs="宋体"/>
                <w:sz w:val="22"/>
                <w:szCs w:val="22"/>
                <w:lang w:bidi="ar"/>
              </w:rPr>
              <w:t>3</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07258D8C">
            <w:pPr>
              <w:widowControl/>
              <w:textAlignment w:val="center"/>
              <w:rPr>
                <w:rFonts w:hint="eastAsia" w:ascii="宋体" w:hAnsi="宋体" w:cs="宋体"/>
                <w:sz w:val="22"/>
                <w:szCs w:val="22"/>
              </w:rPr>
            </w:pPr>
            <w:r>
              <w:rPr>
                <w:rFonts w:hint="eastAsia" w:ascii="宋体" w:hAnsi="宋体" w:cs="宋体"/>
                <w:sz w:val="22"/>
                <w:szCs w:val="22"/>
                <w:lang w:bidi="ar"/>
              </w:rPr>
              <w:t>隐瞒不报事故的扣3分</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D07F24B">
            <w:pPr>
              <w:rPr>
                <w:rFonts w:hint="eastAsia" w:ascii="宋体" w:hAnsi="宋体" w:cs="宋体"/>
                <w:sz w:val="22"/>
                <w:szCs w:val="22"/>
              </w:rPr>
            </w:pPr>
          </w:p>
        </w:tc>
      </w:tr>
      <w:tr w14:paraId="102F6D7C">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6B9993">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0191CEEB">
            <w:pPr>
              <w:widowControl/>
              <w:textAlignment w:val="center"/>
              <w:rPr>
                <w:rFonts w:hint="eastAsia" w:ascii="宋体" w:hAnsi="宋体" w:cs="宋体"/>
                <w:sz w:val="22"/>
                <w:szCs w:val="22"/>
              </w:rPr>
            </w:pPr>
            <w:r>
              <w:rPr>
                <w:rFonts w:hint="eastAsia" w:ascii="宋体" w:hAnsi="宋体" w:cs="宋体"/>
                <w:sz w:val="22"/>
                <w:szCs w:val="22"/>
                <w:lang w:bidi="ar"/>
              </w:rPr>
              <w:t>3、近三年未发生死亡事故或重大火灾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F67AD2C">
            <w:pPr>
              <w:widowControl/>
              <w:jc w:val="center"/>
              <w:textAlignment w:val="center"/>
              <w:rPr>
                <w:rFonts w:hint="eastAsia" w:ascii="宋体" w:hAnsi="宋体" w:cs="宋体"/>
                <w:sz w:val="22"/>
                <w:szCs w:val="22"/>
              </w:rPr>
            </w:pPr>
            <w:r>
              <w:rPr>
                <w:rFonts w:hint="eastAsia" w:ascii="宋体" w:hAnsi="宋体" w:cs="宋体"/>
                <w:sz w:val="22"/>
                <w:szCs w:val="22"/>
                <w:lang w:bidi="ar"/>
              </w:rPr>
              <w:t>5</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6EDAEC3C">
            <w:pPr>
              <w:widowControl/>
              <w:textAlignment w:val="center"/>
              <w:rPr>
                <w:rFonts w:hint="eastAsia" w:ascii="宋体" w:hAnsi="宋体" w:cs="宋体"/>
                <w:sz w:val="22"/>
                <w:szCs w:val="22"/>
              </w:rPr>
            </w:pPr>
            <w:r>
              <w:rPr>
                <w:rFonts w:hint="eastAsia" w:ascii="宋体" w:hAnsi="宋体" w:cs="宋体"/>
                <w:sz w:val="22"/>
                <w:szCs w:val="22"/>
                <w:lang w:bidi="ar"/>
              </w:rPr>
              <w:t>近三年内发生死亡事故或重大火灾扣5分</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7FB4D00">
            <w:pPr>
              <w:rPr>
                <w:rFonts w:hint="eastAsia" w:ascii="宋体" w:hAnsi="宋体" w:cs="宋体"/>
                <w:sz w:val="22"/>
                <w:szCs w:val="22"/>
              </w:rPr>
            </w:pPr>
          </w:p>
        </w:tc>
      </w:tr>
      <w:tr w14:paraId="45CDFD1A">
        <w:tblPrEx>
          <w:tblCellMar>
            <w:top w:w="0" w:type="dxa"/>
            <w:left w:w="108" w:type="dxa"/>
            <w:bottom w:w="0" w:type="dxa"/>
            <w:right w:w="108" w:type="dxa"/>
          </w:tblCellMar>
        </w:tblPrEx>
        <w:trPr>
          <w:trHeight w:val="850" w:hRule="atLeast"/>
        </w:trPr>
        <w:tc>
          <w:tcPr>
            <w:tcW w:w="625" w:type="pct"/>
            <w:vMerge w:val="restart"/>
            <w:tcBorders>
              <w:top w:val="single" w:color="000000" w:sz="4" w:space="0"/>
              <w:left w:val="single" w:color="000000" w:sz="4" w:space="0"/>
              <w:bottom w:val="single" w:color="000000" w:sz="4" w:space="0"/>
              <w:right w:val="single" w:color="000000" w:sz="4" w:space="0"/>
            </w:tcBorders>
            <w:noWrap w:val="0"/>
            <w:vAlign w:val="center"/>
          </w:tcPr>
          <w:p w14:paraId="674E6E9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八、园区综合管理风险评估（10分）</w:t>
            </w: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509956E7">
            <w:pPr>
              <w:widowControl/>
              <w:textAlignment w:val="center"/>
              <w:rPr>
                <w:rFonts w:hint="eastAsia" w:ascii="宋体" w:hAnsi="宋体" w:cs="宋体"/>
                <w:sz w:val="22"/>
                <w:szCs w:val="22"/>
              </w:rPr>
            </w:pPr>
            <w:r>
              <w:rPr>
                <w:rFonts w:hint="eastAsia" w:ascii="宋体" w:hAnsi="宋体" w:cs="宋体"/>
                <w:sz w:val="22"/>
                <w:szCs w:val="22"/>
                <w:lang w:bidi="ar"/>
              </w:rPr>
              <w:t>1、未收到上级监管部门处罚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453044E">
            <w:pPr>
              <w:widowControl/>
              <w:jc w:val="center"/>
              <w:textAlignment w:val="center"/>
              <w:rPr>
                <w:rFonts w:hint="eastAsia" w:ascii="宋体" w:hAnsi="宋体" w:cs="宋体"/>
                <w:sz w:val="22"/>
                <w:szCs w:val="22"/>
              </w:rPr>
            </w:pPr>
            <w:r>
              <w:rPr>
                <w:rFonts w:hint="eastAsia" w:ascii="宋体" w:hAnsi="宋体" w:cs="宋体"/>
                <w:sz w:val="22"/>
                <w:szCs w:val="22"/>
                <w:lang w:bidi="ar"/>
              </w:rPr>
              <w:t>5</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01D5025C">
            <w:pPr>
              <w:widowControl/>
              <w:textAlignment w:val="center"/>
              <w:rPr>
                <w:rFonts w:hint="eastAsia" w:ascii="宋体" w:hAnsi="宋体" w:cs="宋体"/>
                <w:sz w:val="22"/>
                <w:szCs w:val="22"/>
              </w:rPr>
            </w:pPr>
            <w:r>
              <w:rPr>
                <w:rFonts w:hint="eastAsia" w:ascii="宋体" w:hAnsi="宋体" w:cs="宋体"/>
                <w:sz w:val="22"/>
                <w:szCs w:val="22"/>
                <w:lang w:bidi="ar"/>
              </w:rPr>
              <w:t>收到上级监管部门处罚扣5分</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EA8B5E5">
            <w:pPr>
              <w:rPr>
                <w:rFonts w:hint="eastAsia" w:ascii="宋体" w:hAnsi="宋体" w:cs="宋体"/>
                <w:sz w:val="22"/>
                <w:szCs w:val="22"/>
              </w:rPr>
            </w:pPr>
          </w:p>
        </w:tc>
      </w:tr>
      <w:tr w14:paraId="09458511">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B8FB78">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3229DB8E">
            <w:pPr>
              <w:widowControl/>
              <w:textAlignment w:val="center"/>
              <w:rPr>
                <w:rFonts w:hint="eastAsia" w:ascii="宋体" w:hAnsi="宋体" w:cs="宋体"/>
                <w:sz w:val="22"/>
                <w:szCs w:val="22"/>
              </w:rPr>
            </w:pPr>
            <w:r>
              <w:rPr>
                <w:rFonts w:hint="eastAsia" w:ascii="宋体" w:hAnsi="宋体" w:cs="宋体"/>
                <w:sz w:val="22"/>
                <w:szCs w:val="22"/>
                <w:lang w:bidi="ar"/>
              </w:rPr>
              <w:t>2、安全隐患按时进行整改</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8250A7D">
            <w:pPr>
              <w:widowControl/>
              <w:jc w:val="center"/>
              <w:textAlignment w:val="center"/>
              <w:rPr>
                <w:rFonts w:hint="eastAsia" w:ascii="宋体" w:hAnsi="宋体" w:cs="宋体"/>
                <w:sz w:val="22"/>
                <w:szCs w:val="22"/>
              </w:rPr>
            </w:pPr>
            <w:r>
              <w:rPr>
                <w:rFonts w:hint="eastAsia" w:ascii="宋体" w:hAnsi="宋体" w:cs="宋体"/>
                <w:sz w:val="22"/>
                <w:szCs w:val="22"/>
                <w:lang w:bidi="ar"/>
              </w:rPr>
              <w:t>3</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085D2EAD">
            <w:pPr>
              <w:widowControl/>
              <w:textAlignment w:val="center"/>
              <w:rPr>
                <w:rFonts w:hint="eastAsia" w:ascii="宋体" w:hAnsi="宋体" w:cs="宋体"/>
                <w:sz w:val="22"/>
                <w:szCs w:val="22"/>
              </w:rPr>
            </w:pPr>
            <w:r>
              <w:rPr>
                <w:rFonts w:hint="eastAsia" w:ascii="宋体" w:hAnsi="宋体" w:cs="宋体"/>
                <w:sz w:val="22"/>
                <w:szCs w:val="22"/>
                <w:lang w:bidi="ar"/>
              </w:rPr>
              <w:t>安全隐患未按时整改扣3分</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07EF7B6">
            <w:pPr>
              <w:rPr>
                <w:rFonts w:hint="eastAsia" w:ascii="宋体" w:hAnsi="宋体" w:cs="宋体"/>
                <w:sz w:val="22"/>
                <w:szCs w:val="22"/>
              </w:rPr>
            </w:pPr>
          </w:p>
        </w:tc>
      </w:tr>
      <w:tr w14:paraId="086C2ED7">
        <w:tblPrEx>
          <w:tblCellMar>
            <w:top w:w="0" w:type="dxa"/>
            <w:left w:w="108" w:type="dxa"/>
            <w:bottom w:w="0" w:type="dxa"/>
            <w:right w:w="108" w:type="dxa"/>
          </w:tblCellMar>
        </w:tblPrEx>
        <w:trPr>
          <w:trHeight w:val="850"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55CB43">
            <w:pPr>
              <w:jc w:val="center"/>
              <w:rPr>
                <w:rFonts w:hint="eastAsia" w:ascii="宋体" w:hAnsi="宋体" w:cs="宋体"/>
                <w:sz w:val="22"/>
                <w:szCs w:val="22"/>
              </w:rPr>
            </w:pP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67ED7CDD">
            <w:pPr>
              <w:widowControl/>
              <w:textAlignment w:val="center"/>
              <w:rPr>
                <w:rFonts w:hint="eastAsia" w:ascii="宋体" w:hAnsi="宋体" w:cs="宋体"/>
                <w:sz w:val="22"/>
                <w:szCs w:val="22"/>
              </w:rPr>
            </w:pPr>
            <w:r>
              <w:rPr>
                <w:rFonts w:hint="eastAsia" w:ascii="宋体" w:hAnsi="宋体" w:cs="宋体"/>
                <w:sz w:val="22"/>
                <w:szCs w:val="22"/>
                <w:lang w:bidi="ar"/>
              </w:rPr>
              <w:t>3、配合园区各项安全工作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799A559">
            <w:pPr>
              <w:widowControl/>
              <w:jc w:val="center"/>
              <w:textAlignment w:val="center"/>
              <w:rPr>
                <w:rFonts w:hint="eastAsia" w:ascii="宋体" w:hAnsi="宋体" w:cs="宋体"/>
                <w:sz w:val="22"/>
                <w:szCs w:val="22"/>
              </w:rPr>
            </w:pPr>
            <w:r>
              <w:rPr>
                <w:rFonts w:hint="eastAsia" w:ascii="宋体" w:hAnsi="宋体" w:cs="宋体"/>
                <w:sz w:val="22"/>
                <w:szCs w:val="22"/>
                <w:lang w:bidi="ar"/>
              </w:rPr>
              <w:t>2</w:t>
            </w:r>
          </w:p>
        </w:tc>
        <w:tc>
          <w:tcPr>
            <w:tcW w:w="1999" w:type="pct"/>
            <w:tcBorders>
              <w:top w:val="single" w:color="000000" w:sz="4" w:space="0"/>
              <w:left w:val="single" w:color="000000" w:sz="4" w:space="0"/>
              <w:bottom w:val="single" w:color="000000" w:sz="4" w:space="0"/>
              <w:right w:val="single" w:color="000000" w:sz="4" w:space="0"/>
            </w:tcBorders>
            <w:noWrap w:val="0"/>
            <w:vAlign w:val="center"/>
          </w:tcPr>
          <w:p w14:paraId="7A088EDB">
            <w:pPr>
              <w:widowControl/>
              <w:textAlignment w:val="center"/>
              <w:rPr>
                <w:rFonts w:hint="eastAsia" w:ascii="宋体" w:hAnsi="宋体" w:cs="宋体"/>
                <w:sz w:val="22"/>
                <w:szCs w:val="22"/>
              </w:rPr>
            </w:pPr>
            <w:r>
              <w:rPr>
                <w:rFonts w:hint="eastAsia" w:ascii="宋体" w:hAnsi="宋体" w:cs="宋体"/>
                <w:sz w:val="22"/>
                <w:szCs w:val="22"/>
                <w:lang w:bidi="ar"/>
              </w:rPr>
              <w:t>不按要求配合园区安全工作扣2分</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0C1A69B">
            <w:pPr>
              <w:rPr>
                <w:rFonts w:hint="eastAsia" w:ascii="宋体" w:hAnsi="宋体" w:cs="宋体"/>
                <w:sz w:val="22"/>
                <w:szCs w:val="22"/>
              </w:rPr>
            </w:pPr>
          </w:p>
        </w:tc>
      </w:tr>
    </w:tbl>
    <w:p w14:paraId="4CFC6DBB">
      <w:pPr>
        <w:spacing w:line="480" w:lineRule="exact"/>
        <w:rPr>
          <w:rFonts w:ascii="仿宋_GB2312" w:hAnsi="仿宋_GB2312" w:eastAsia="仿宋_GB2312" w:cs="仿宋_GB2312"/>
          <w:sz w:val="24"/>
          <w:szCs w:val="24"/>
        </w:rPr>
        <w:sectPr>
          <w:footerReference r:id="rId3" w:type="default"/>
          <w:pgSz w:w="11906" w:h="16838"/>
          <w:pgMar w:top="1701" w:right="1531" w:bottom="1701" w:left="1531" w:header="851" w:footer="1588" w:gutter="0"/>
          <w:pgNumType w:fmt="numberInDash" w:start="1"/>
          <w:cols w:space="720" w:num="1"/>
          <w:docGrid w:type="lines" w:linePitch="312" w:charSpace="0"/>
        </w:sectPr>
      </w:pPr>
      <w:r>
        <w:rPr>
          <w:rFonts w:hint="eastAsia" w:ascii="仿宋_GB2312" w:hAnsi="仿宋_GB2312" w:eastAsia="仿宋_GB2312" w:cs="仿宋_GB2312"/>
          <w:sz w:val="24"/>
          <w:szCs w:val="24"/>
        </w:rPr>
        <w:t>注：安全评价分为四个等级：安全诚信企业、安全良好企业、安全警示企业和安全不良企业四个等级，依次以绿牌、蓝牌、黄牌、红牌标识。其中：①绿牌：X（得分）≥90分；②蓝牌：90分＞X（得分）≥75分；③黄牌：75分＞X（得分）≥60分；④红牌：X（得分）＜60分。</w:t>
      </w:r>
    </w:p>
    <w:p w14:paraId="5C5094B5">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附表2：</w:t>
      </w:r>
      <w:r>
        <w:rPr>
          <w:rFonts w:hint="eastAsia" w:ascii="仿宋_GB2312" w:hAnsi="仿宋_GB2312" w:eastAsia="仿宋_GB2312" w:cs="仿宋_GB2312"/>
          <w:sz w:val="32"/>
          <w:szCs w:val="32"/>
        </w:rPr>
        <w:t xml:space="preserve">   </w:t>
      </w:r>
      <w:r>
        <w:rPr>
          <w:rFonts w:hint="eastAsia" w:ascii="方正小标宋简体" w:hAnsi="方正小标宋简体" w:eastAsia="方正小标宋简体" w:cs="方正小标宋简体"/>
          <w:sz w:val="32"/>
          <w:szCs w:val="32"/>
        </w:rPr>
        <w:t>新余经开区企业绿色环保管理评价标准</w:t>
      </w:r>
    </w:p>
    <w:tbl>
      <w:tblPr>
        <w:tblStyle w:val="3"/>
        <w:tblW w:w="4998" w:type="pct"/>
        <w:tblInd w:w="0" w:type="dxa"/>
        <w:tblLayout w:type="autofit"/>
        <w:tblCellMar>
          <w:top w:w="0" w:type="dxa"/>
          <w:left w:w="108" w:type="dxa"/>
          <w:bottom w:w="0" w:type="dxa"/>
          <w:right w:w="108" w:type="dxa"/>
        </w:tblCellMar>
      </w:tblPr>
      <w:tblGrid>
        <w:gridCol w:w="1306"/>
        <w:gridCol w:w="1306"/>
        <w:gridCol w:w="5138"/>
        <w:gridCol w:w="1306"/>
      </w:tblGrid>
      <w:tr w14:paraId="5B9BA5DB">
        <w:tblPrEx>
          <w:tblCellMar>
            <w:top w:w="0" w:type="dxa"/>
            <w:left w:w="108" w:type="dxa"/>
            <w:bottom w:w="0" w:type="dxa"/>
            <w:right w:w="108" w:type="dxa"/>
          </w:tblCellMar>
        </w:tblPrEx>
        <w:trPr>
          <w:trHeight w:val="471" w:hRule="atLeast"/>
        </w:trPr>
        <w:tc>
          <w:tcPr>
            <w:tcW w:w="721" w:type="pct"/>
            <w:tcBorders>
              <w:top w:val="single" w:color="000000" w:sz="4" w:space="0"/>
              <w:left w:val="single" w:color="000000" w:sz="4" w:space="0"/>
              <w:bottom w:val="single" w:color="000000" w:sz="4" w:space="0"/>
              <w:right w:val="single" w:color="000000" w:sz="4" w:space="0"/>
            </w:tcBorders>
            <w:noWrap/>
            <w:vAlign w:val="center"/>
          </w:tcPr>
          <w:p w14:paraId="1554F4BD">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序号</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6864C751">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评估指标</w:t>
            </w:r>
          </w:p>
        </w:tc>
        <w:tc>
          <w:tcPr>
            <w:tcW w:w="2836" w:type="pct"/>
            <w:tcBorders>
              <w:top w:val="single" w:color="000000" w:sz="4" w:space="0"/>
              <w:left w:val="single" w:color="000000" w:sz="4" w:space="0"/>
              <w:bottom w:val="single" w:color="000000" w:sz="4" w:space="0"/>
              <w:right w:val="single" w:color="000000" w:sz="4" w:space="0"/>
            </w:tcBorders>
            <w:noWrap/>
            <w:vAlign w:val="center"/>
          </w:tcPr>
          <w:p w14:paraId="64B2EAC9">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评分依据</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3050A1B0">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分值</w:t>
            </w:r>
          </w:p>
        </w:tc>
      </w:tr>
      <w:tr w14:paraId="0C68C551">
        <w:tblPrEx>
          <w:tblCellMar>
            <w:top w:w="0" w:type="dxa"/>
            <w:left w:w="108" w:type="dxa"/>
            <w:bottom w:w="0" w:type="dxa"/>
            <w:right w:w="108" w:type="dxa"/>
          </w:tblCellMar>
        </w:tblPrEx>
        <w:trPr>
          <w:trHeight w:val="855"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50D3542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7F2A5E1C">
            <w:pPr>
              <w:widowControl/>
              <w:jc w:val="left"/>
              <w:textAlignment w:val="center"/>
              <w:rPr>
                <w:rFonts w:hint="eastAsia" w:ascii="宋体" w:hAnsi="宋体" w:cs="宋体"/>
                <w:sz w:val="22"/>
                <w:szCs w:val="22"/>
              </w:rPr>
            </w:pPr>
            <w:r>
              <w:rPr>
                <w:rFonts w:hint="eastAsia" w:ascii="宋体" w:hAnsi="宋体" w:cs="宋体"/>
                <w:kern w:val="0"/>
                <w:sz w:val="22"/>
                <w:szCs w:val="22"/>
                <w:lang w:bidi="ar"/>
              </w:rPr>
              <w:t>环评与环保“三同时”制度</w:t>
            </w: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2C58A70A">
            <w:pPr>
              <w:widowControl/>
              <w:jc w:val="left"/>
              <w:textAlignment w:val="center"/>
              <w:rPr>
                <w:rFonts w:hint="eastAsia" w:ascii="宋体" w:hAnsi="宋体" w:cs="宋体"/>
                <w:sz w:val="22"/>
                <w:szCs w:val="22"/>
              </w:rPr>
            </w:pPr>
            <w:r>
              <w:rPr>
                <w:rFonts w:hint="eastAsia" w:ascii="宋体" w:hAnsi="宋体" w:cs="宋体"/>
                <w:kern w:val="0"/>
                <w:sz w:val="22"/>
                <w:szCs w:val="22"/>
                <w:lang w:bidi="ar"/>
              </w:rPr>
              <w:t>新建、改建、扩建项目未依法报批环评文件、未经批准或者未经重新审核同意擅自开工建设的。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D73E4D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-10分</w:t>
            </w:r>
          </w:p>
        </w:tc>
      </w:tr>
      <w:tr w14:paraId="346AE07E">
        <w:tblPrEx>
          <w:tblCellMar>
            <w:top w:w="0" w:type="dxa"/>
            <w:left w:w="108" w:type="dxa"/>
            <w:bottom w:w="0" w:type="dxa"/>
            <w:right w:w="108" w:type="dxa"/>
          </w:tblCellMar>
        </w:tblPrEx>
        <w:trPr>
          <w:trHeight w:val="570"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02E6A4E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FF73E1">
            <w:pPr>
              <w:jc w:val="left"/>
              <w:rPr>
                <w:rFonts w:hint="eastAsia" w:ascii="宋体" w:hAnsi="宋体" w:cs="宋体"/>
                <w:sz w:val="22"/>
                <w:szCs w:val="22"/>
              </w:rPr>
            </w:pP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1A17E1E6">
            <w:pPr>
              <w:widowControl/>
              <w:jc w:val="left"/>
              <w:textAlignment w:val="center"/>
              <w:rPr>
                <w:rFonts w:hint="eastAsia" w:ascii="宋体" w:hAnsi="宋体" w:cs="宋体"/>
                <w:sz w:val="22"/>
                <w:szCs w:val="22"/>
              </w:rPr>
            </w:pPr>
            <w:r>
              <w:rPr>
                <w:rFonts w:hint="eastAsia" w:ascii="宋体" w:hAnsi="宋体" w:cs="宋体"/>
                <w:kern w:val="0"/>
                <w:sz w:val="22"/>
                <w:szCs w:val="22"/>
                <w:lang w:bidi="ar"/>
              </w:rPr>
              <w:t>新建、改建、扩建项目未履行自主环保验收的。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0C26EF1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-10分</w:t>
            </w:r>
          </w:p>
        </w:tc>
      </w:tr>
      <w:tr w14:paraId="17256514">
        <w:tblPrEx>
          <w:tblCellMar>
            <w:top w:w="0" w:type="dxa"/>
            <w:left w:w="108" w:type="dxa"/>
            <w:bottom w:w="0" w:type="dxa"/>
            <w:right w:w="108" w:type="dxa"/>
          </w:tblCellMar>
        </w:tblPrEx>
        <w:trPr>
          <w:trHeight w:val="570"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7318FF2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34EEE52">
            <w:pPr>
              <w:widowControl/>
              <w:jc w:val="left"/>
              <w:textAlignment w:val="center"/>
              <w:rPr>
                <w:rFonts w:hint="eastAsia" w:ascii="宋体" w:hAnsi="宋体" w:cs="宋体"/>
                <w:sz w:val="22"/>
                <w:szCs w:val="22"/>
              </w:rPr>
            </w:pPr>
            <w:r>
              <w:rPr>
                <w:rFonts w:hint="eastAsia" w:ascii="宋体" w:hAnsi="宋体" w:cs="宋体"/>
                <w:kern w:val="0"/>
                <w:sz w:val="22"/>
                <w:szCs w:val="22"/>
                <w:lang w:bidi="ar"/>
              </w:rPr>
              <w:t>排污许可制度</w:t>
            </w: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3F79A510">
            <w:pPr>
              <w:widowControl/>
              <w:jc w:val="left"/>
              <w:textAlignment w:val="center"/>
              <w:rPr>
                <w:rFonts w:hint="eastAsia" w:ascii="宋体" w:hAnsi="宋体" w:cs="宋体"/>
                <w:sz w:val="22"/>
                <w:szCs w:val="22"/>
              </w:rPr>
            </w:pPr>
            <w:r>
              <w:rPr>
                <w:rFonts w:hint="eastAsia" w:ascii="宋体" w:hAnsi="宋体" w:cs="宋体"/>
                <w:kern w:val="0"/>
                <w:sz w:val="22"/>
                <w:szCs w:val="22"/>
                <w:lang w:bidi="ar"/>
              </w:rPr>
              <w:t>未依法取得排污许可证排放污染物的。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368D0563">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-5分</w:t>
            </w:r>
          </w:p>
        </w:tc>
      </w:tr>
      <w:tr w14:paraId="72496883">
        <w:tblPrEx>
          <w:tblCellMar>
            <w:top w:w="0" w:type="dxa"/>
            <w:left w:w="108" w:type="dxa"/>
            <w:bottom w:w="0" w:type="dxa"/>
            <w:right w:w="108" w:type="dxa"/>
          </w:tblCellMar>
        </w:tblPrEx>
        <w:trPr>
          <w:trHeight w:val="285"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4840E25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4</w:t>
            </w: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6EF907C2">
            <w:pPr>
              <w:widowControl/>
              <w:jc w:val="left"/>
              <w:textAlignment w:val="center"/>
              <w:rPr>
                <w:rFonts w:hint="eastAsia" w:ascii="宋体" w:hAnsi="宋体" w:cs="宋体"/>
                <w:sz w:val="22"/>
                <w:szCs w:val="22"/>
              </w:rPr>
            </w:pPr>
            <w:r>
              <w:rPr>
                <w:rFonts w:hint="eastAsia" w:ascii="宋体" w:hAnsi="宋体" w:cs="宋体"/>
                <w:kern w:val="0"/>
                <w:sz w:val="22"/>
                <w:szCs w:val="22"/>
                <w:lang w:bidi="ar"/>
              </w:rPr>
              <w:t>污染物排放控制</w:t>
            </w: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56C17589">
            <w:pPr>
              <w:widowControl/>
              <w:jc w:val="left"/>
              <w:textAlignment w:val="center"/>
              <w:rPr>
                <w:rFonts w:hint="eastAsia" w:ascii="宋体" w:hAnsi="宋体" w:cs="宋体"/>
                <w:sz w:val="22"/>
                <w:szCs w:val="22"/>
              </w:rPr>
            </w:pPr>
            <w:r>
              <w:rPr>
                <w:rFonts w:hint="eastAsia" w:ascii="宋体" w:hAnsi="宋体" w:cs="宋体"/>
                <w:kern w:val="0"/>
                <w:sz w:val="22"/>
                <w:szCs w:val="22"/>
                <w:lang w:bidi="ar"/>
              </w:rPr>
              <w:t>污染防治设施擅自停运或拆除的。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32961E7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-10分</w:t>
            </w:r>
          </w:p>
        </w:tc>
      </w:tr>
      <w:tr w14:paraId="78B692C5">
        <w:tblPrEx>
          <w:tblCellMar>
            <w:top w:w="0" w:type="dxa"/>
            <w:left w:w="108" w:type="dxa"/>
            <w:bottom w:w="0" w:type="dxa"/>
            <w:right w:w="108" w:type="dxa"/>
          </w:tblCellMar>
        </w:tblPrEx>
        <w:trPr>
          <w:trHeight w:val="285"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51D6E1AB">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5</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75F05E">
            <w:pPr>
              <w:jc w:val="left"/>
              <w:rPr>
                <w:rFonts w:hint="eastAsia" w:ascii="宋体" w:hAnsi="宋体" w:cs="宋体"/>
                <w:sz w:val="22"/>
                <w:szCs w:val="22"/>
              </w:rPr>
            </w:pP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6053CBDE">
            <w:pPr>
              <w:widowControl/>
              <w:jc w:val="left"/>
              <w:textAlignment w:val="center"/>
              <w:rPr>
                <w:rFonts w:hint="eastAsia" w:ascii="宋体" w:hAnsi="宋体" w:cs="宋体"/>
                <w:sz w:val="22"/>
                <w:szCs w:val="22"/>
              </w:rPr>
            </w:pPr>
            <w:r>
              <w:rPr>
                <w:rFonts w:hint="eastAsia" w:ascii="宋体" w:hAnsi="宋体" w:cs="宋体"/>
                <w:kern w:val="0"/>
                <w:sz w:val="22"/>
                <w:szCs w:val="22"/>
                <w:lang w:bidi="ar"/>
              </w:rPr>
              <w:t>污染物超标排放的。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035A48BD">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-5分</w:t>
            </w:r>
          </w:p>
        </w:tc>
      </w:tr>
      <w:tr w14:paraId="2D2FFAC5">
        <w:tblPrEx>
          <w:tblCellMar>
            <w:top w:w="0" w:type="dxa"/>
            <w:left w:w="108" w:type="dxa"/>
            <w:bottom w:w="0" w:type="dxa"/>
            <w:right w:w="108" w:type="dxa"/>
          </w:tblCellMar>
        </w:tblPrEx>
        <w:trPr>
          <w:trHeight w:val="570"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33D7146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6</w:t>
            </w: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107FA813">
            <w:pPr>
              <w:widowControl/>
              <w:jc w:val="left"/>
              <w:textAlignment w:val="center"/>
              <w:rPr>
                <w:rFonts w:hint="eastAsia" w:ascii="宋体" w:hAnsi="宋体" w:cs="宋体"/>
                <w:sz w:val="22"/>
                <w:szCs w:val="22"/>
              </w:rPr>
            </w:pPr>
            <w:r>
              <w:rPr>
                <w:rFonts w:hint="eastAsia" w:ascii="宋体" w:hAnsi="宋体" w:cs="宋体"/>
                <w:kern w:val="0"/>
                <w:sz w:val="22"/>
                <w:szCs w:val="22"/>
                <w:lang w:bidi="ar"/>
              </w:rPr>
              <w:t>工业固体废物管控</w:t>
            </w: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67907CD0">
            <w:pPr>
              <w:widowControl/>
              <w:jc w:val="left"/>
              <w:textAlignment w:val="center"/>
              <w:rPr>
                <w:rFonts w:hint="eastAsia" w:ascii="宋体" w:hAnsi="宋体" w:cs="宋体"/>
                <w:sz w:val="22"/>
                <w:szCs w:val="22"/>
              </w:rPr>
            </w:pPr>
            <w:r>
              <w:rPr>
                <w:rFonts w:hint="eastAsia" w:ascii="宋体" w:hAnsi="宋体" w:cs="宋体"/>
                <w:kern w:val="0"/>
                <w:sz w:val="22"/>
                <w:szCs w:val="22"/>
                <w:lang w:bidi="ar"/>
              </w:rPr>
              <w:t>一般工业固体废物的贮存、运输、利用、处置不符合有关要求的。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284C688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-3分</w:t>
            </w:r>
          </w:p>
        </w:tc>
      </w:tr>
      <w:tr w14:paraId="4B34186C">
        <w:tblPrEx>
          <w:tblCellMar>
            <w:top w:w="0" w:type="dxa"/>
            <w:left w:w="108" w:type="dxa"/>
            <w:bottom w:w="0" w:type="dxa"/>
            <w:right w:w="108" w:type="dxa"/>
          </w:tblCellMar>
        </w:tblPrEx>
        <w:trPr>
          <w:trHeight w:val="855"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66D321B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7</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0FE72F">
            <w:pPr>
              <w:jc w:val="left"/>
              <w:rPr>
                <w:rFonts w:hint="eastAsia" w:ascii="宋体" w:hAnsi="宋体" w:cs="宋体"/>
                <w:sz w:val="22"/>
                <w:szCs w:val="22"/>
              </w:rPr>
            </w:pP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43B91EBE">
            <w:pPr>
              <w:widowControl/>
              <w:jc w:val="left"/>
              <w:textAlignment w:val="center"/>
              <w:rPr>
                <w:rFonts w:hint="eastAsia" w:ascii="宋体" w:hAnsi="宋体" w:cs="宋体"/>
                <w:sz w:val="22"/>
                <w:szCs w:val="22"/>
              </w:rPr>
            </w:pPr>
            <w:r>
              <w:rPr>
                <w:rFonts w:hint="eastAsia" w:ascii="宋体" w:hAnsi="宋体" w:cs="宋体"/>
                <w:kern w:val="0"/>
                <w:sz w:val="22"/>
                <w:szCs w:val="22"/>
                <w:lang w:bidi="ar"/>
              </w:rPr>
              <w:t>危险废物的贮存、运输、处置不符合有关要求。或未规范设置危险废物识别标志，或未建立危险废物</w:t>
            </w:r>
            <w:r>
              <w:rPr>
                <w:rFonts w:hint="eastAsia" w:ascii="宋体" w:hAnsi="宋体" w:cs="宋体"/>
                <w:kern w:val="0"/>
                <w:sz w:val="22"/>
                <w:szCs w:val="22"/>
                <w:lang w:eastAsia="zh-CN" w:bidi="ar"/>
              </w:rPr>
              <w:t>台账</w:t>
            </w:r>
            <w:r>
              <w:rPr>
                <w:rFonts w:hint="eastAsia" w:ascii="宋体" w:hAnsi="宋体" w:cs="宋体"/>
                <w:kern w:val="0"/>
                <w:sz w:val="22"/>
                <w:szCs w:val="22"/>
                <w:lang w:bidi="ar"/>
              </w:rPr>
              <w:t>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70946373">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-5分</w:t>
            </w:r>
          </w:p>
        </w:tc>
      </w:tr>
      <w:tr w14:paraId="1B8FECE6">
        <w:tblPrEx>
          <w:tblCellMar>
            <w:top w:w="0" w:type="dxa"/>
            <w:left w:w="108" w:type="dxa"/>
            <w:bottom w:w="0" w:type="dxa"/>
            <w:right w:w="108" w:type="dxa"/>
          </w:tblCellMar>
        </w:tblPrEx>
        <w:trPr>
          <w:trHeight w:val="570"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755EA38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8</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19A12C9">
            <w:pPr>
              <w:widowControl/>
              <w:jc w:val="left"/>
              <w:textAlignment w:val="center"/>
              <w:rPr>
                <w:rFonts w:hint="eastAsia" w:ascii="宋体" w:hAnsi="宋体" w:cs="宋体"/>
                <w:sz w:val="22"/>
                <w:szCs w:val="22"/>
              </w:rPr>
            </w:pPr>
            <w:r>
              <w:rPr>
                <w:rFonts w:hint="eastAsia" w:ascii="宋体" w:hAnsi="宋体" w:cs="宋体"/>
                <w:kern w:val="0"/>
                <w:sz w:val="22"/>
                <w:szCs w:val="22"/>
                <w:lang w:bidi="ar"/>
              </w:rPr>
              <w:t>环境监测</w:t>
            </w: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3C0E9858">
            <w:pPr>
              <w:widowControl/>
              <w:jc w:val="left"/>
              <w:textAlignment w:val="center"/>
              <w:rPr>
                <w:rFonts w:hint="eastAsia" w:ascii="宋体" w:hAnsi="宋体" w:cs="宋体"/>
                <w:sz w:val="22"/>
                <w:szCs w:val="22"/>
              </w:rPr>
            </w:pPr>
            <w:r>
              <w:rPr>
                <w:rFonts w:hint="eastAsia" w:ascii="宋体" w:hAnsi="宋体" w:cs="宋体"/>
                <w:kern w:val="0"/>
                <w:sz w:val="22"/>
                <w:szCs w:val="22"/>
                <w:lang w:bidi="ar"/>
              </w:rPr>
              <w:t>未按排污许可证要求，未安装在线监测或开展自行监测的。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1C1379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-10分</w:t>
            </w:r>
          </w:p>
        </w:tc>
      </w:tr>
      <w:tr w14:paraId="5A2E2BEA">
        <w:tblPrEx>
          <w:tblCellMar>
            <w:top w:w="0" w:type="dxa"/>
            <w:left w:w="108" w:type="dxa"/>
            <w:bottom w:w="0" w:type="dxa"/>
            <w:right w:w="108" w:type="dxa"/>
          </w:tblCellMar>
        </w:tblPrEx>
        <w:trPr>
          <w:trHeight w:val="570"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208E96D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9</w:t>
            </w: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0B9E8B86">
            <w:pPr>
              <w:widowControl/>
              <w:jc w:val="left"/>
              <w:textAlignment w:val="center"/>
              <w:rPr>
                <w:rFonts w:hint="eastAsia" w:ascii="宋体" w:hAnsi="宋体" w:cs="宋体"/>
                <w:sz w:val="22"/>
                <w:szCs w:val="22"/>
              </w:rPr>
            </w:pPr>
            <w:r>
              <w:rPr>
                <w:rFonts w:hint="eastAsia" w:ascii="宋体" w:hAnsi="宋体" w:cs="宋体"/>
                <w:kern w:val="0"/>
                <w:sz w:val="22"/>
                <w:szCs w:val="22"/>
                <w:lang w:bidi="ar"/>
              </w:rPr>
              <w:t>环境信访、投诉</w:t>
            </w: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30580DFA">
            <w:pPr>
              <w:widowControl/>
              <w:jc w:val="left"/>
              <w:textAlignment w:val="center"/>
              <w:rPr>
                <w:rFonts w:hint="eastAsia" w:ascii="宋体" w:hAnsi="宋体" w:cs="宋体"/>
                <w:sz w:val="22"/>
                <w:szCs w:val="22"/>
              </w:rPr>
            </w:pPr>
            <w:r>
              <w:rPr>
                <w:rFonts w:hint="eastAsia" w:ascii="宋体" w:hAnsi="宋体" w:cs="宋体"/>
                <w:kern w:val="0"/>
                <w:sz w:val="22"/>
                <w:szCs w:val="22"/>
                <w:lang w:bidi="ar"/>
              </w:rPr>
              <w:t>对经查属实的环境信访、投诉未及时、有效解决的。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814FF9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-10分</w:t>
            </w:r>
          </w:p>
        </w:tc>
      </w:tr>
      <w:tr w14:paraId="0477584E">
        <w:tblPrEx>
          <w:tblCellMar>
            <w:top w:w="0" w:type="dxa"/>
            <w:left w:w="108" w:type="dxa"/>
            <w:bottom w:w="0" w:type="dxa"/>
            <w:right w:w="108" w:type="dxa"/>
          </w:tblCellMar>
        </w:tblPrEx>
        <w:trPr>
          <w:trHeight w:val="285"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526CA0E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10</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D3AACE">
            <w:pPr>
              <w:jc w:val="left"/>
              <w:rPr>
                <w:rFonts w:hint="eastAsia" w:ascii="宋体" w:hAnsi="宋体" w:cs="宋体"/>
                <w:sz w:val="22"/>
                <w:szCs w:val="22"/>
              </w:rPr>
            </w:pP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1980D100">
            <w:pPr>
              <w:widowControl/>
              <w:jc w:val="left"/>
              <w:textAlignment w:val="center"/>
              <w:rPr>
                <w:rFonts w:hint="eastAsia" w:ascii="宋体" w:hAnsi="宋体" w:cs="宋体"/>
                <w:sz w:val="22"/>
                <w:szCs w:val="22"/>
              </w:rPr>
            </w:pPr>
            <w:r>
              <w:rPr>
                <w:rFonts w:hint="eastAsia" w:ascii="宋体" w:hAnsi="宋体" w:cs="宋体"/>
                <w:kern w:val="0"/>
                <w:sz w:val="22"/>
                <w:szCs w:val="22"/>
                <w:lang w:bidi="ar"/>
              </w:rPr>
              <w:t>因环境问题整改不力，引发群访事件的。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29F04DD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-30分</w:t>
            </w:r>
          </w:p>
        </w:tc>
      </w:tr>
      <w:tr w14:paraId="4AB75885">
        <w:tblPrEx>
          <w:tblCellMar>
            <w:top w:w="0" w:type="dxa"/>
            <w:left w:w="108" w:type="dxa"/>
            <w:bottom w:w="0" w:type="dxa"/>
            <w:right w:w="108" w:type="dxa"/>
          </w:tblCellMar>
        </w:tblPrEx>
        <w:trPr>
          <w:trHeight w:val="570"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3AF2376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11</w:t>
            </w: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5576BBE1">
            <w:pPr>
              <w:widowControl/>
              <w:jc w:val="left"/>
              <w:textAlignment w:val="center"/>
              <w:rPr>
                <w:rFonts w:hint="eastAsia" w:ascii="宋体" w:hAnsi="宋体" w:cs="宋体"/>
                <w:sz w:val="22"/>
                <w:szCs w:val="22"/>
              </w:rPr>
            </w:pPr>
            <w:r>
              <w:rPr>
                <w:rFonts w:hint="eastAsia" w:ascii="宋体" w:hAnsi="宋体" w:cs="宋体"/>
                <w:kern w:val="0"/>
                <w:sz w:val="22"/>
                <w:szCs w:val="22"/>
                <w:lang w:bidi="ar"/>
              </w:rPr>
              <w:t>环境管理</w:t>
            </w: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399390D2">
            <w:pPr>
              <w:widowControl/>
              <w:jc w:val="left"/>
              <w:textAlignment w:val="center"/>
              <w:rPr>
                <w:rFonts w:hint="eastAsia" w:ascii="宋体" w:hAnsi="宋体" w:cs="宋体"/>
                <w:sz w:val="22"/>
                <w:szCs w:val="22"/>
              </w:rPr>
            </w:pPr>
            <w:r>
              <w:rPr>
                <w:rFonts w:hint="eastAsia" w:ascii="宋体" w:hAnsi="宋体" w:cs="宋体"/>
                <w:kern w:val="0"/>
                <w:sz w:val="22"/>
                <w:szCs w:val="22"/>
                <w:lang w:bidi="ar"/>
              </w:rPr>
              <w:t>未按要求建立企业生态环境“一企一档”的。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CAEB187">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-5分</w:t>
            </w:r>
          </w:p>
        </w:tc>
      </w:tr>
      <w:tr w14:paraId="06C54594">
        <w:tblPrEx>
          <w:tblCellMar>
            <w:top w:w="0" w:type="dxa"/>
            <w:left w:w="108" w:type="dxa"/>
            <w:bottom w:w="0" w:type="dxa"/>
            <w:right w:w="108" w:type="dxa"/>
          </w:tblCellMar>
        </w:tblPrEx>
        <w:trPr>
          <w:trHeight w:val="570"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6C80676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12</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4A437D">
            <w:pPr>
              <w:jc w:val="left"/>
              <w:rPr>
                <w:rFonts w:hint="eastAsia" w:ascii="宋体" w:hAnsi="宋体" w:cs="宋体"/>
                <w:sz w:val="22"/>
                <w:szCs w:val="22"/>
              </w:rPr>
            </w:pP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3C4F851A">
            <w:pPr>
              <w:widowControl/>
              <w:jc w:val="left"/>
              <w:textAlignment w:val="center"/>
              <w:rPr>
                <w:rFonts w:hint="eastAsia" w:ascii="宋体" w:hAnsi="宋体" w:cs="宋体"/>
                <w:sz w:val="22"/>
                <w:szCs w:val="22"/>
              </w:rPr>
            </w:pPr>
            <w:r>
              <w:rPr>
                <w:rFonts w:hint="eastAsia" w:ascii="宋体" w:hAnsi="宋体" w:cs="宋体"/>
                <w:kern w:val="0"/>
                <w:sz w:val="22"/>
                <w:szCs w:val="22"/>
                <w:lang w:bidi="ar"/>
              </w:rPr>
              <w:t>被生态环境部门或政府挂牌督办、整改逾期未完成的。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7DE849F">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-20分</w:t>
            </w:r>
          </w:p>
        </w:tc>
      </w:tr>
      <w:tr w14:paraId="4EFB7893">
        <w:tblPrEx>
          <w:tblCellMar>
            <w:top w:w="0" w:type="dxa"/>
            <w:left w:w="108" w:type="dxa"/>
            <w:bottom w:w="0" w:type="dxa"/>
            <w:right w:w="108" w:type="dxa"/>
          </w:tblCellMar>
        </w:tblPrEx>
        <w:trPr>
          <w:trHeight w:val="285"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36D5CBC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13</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621608">
            <w:pPr>
              <w:jc w:val="left"/>
              <w:rPr>
                <w:rFonts w:hint="eastAsia" w:ascii="宋体" w:hAnsi="宋体" w:cs="宋体"/>
                <w:sz w:val="22"/>
                <w:szCs w:val="22"/>
              </w:rPr>
            </w:pP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384BEF69">
            <w:pPr>
              <w:widowControl/>
              <w:jc w:val="left"/>
              <w:textAlignment w:val="center"/>
              <w:rPr>
                <w:rFonts w:hint="eastAsia" w:ascii="宋体" w:hAnsi="宋体" w:cs="宋体"/>
                <w:sz w:val="22"/>
                <w:szCs w:val="22"/>
              </w:rPr>
            </w:pPr>
            <w:r>
              <w:rPr>
                <w:rFonts w:hint="eastAsia" w:ascii="宋体" w:hAnsi="宋体" w:cs="宋体"/>
                <w:kern w:val="0"/>
                <w:sz w:val="22"/>
                <w:szCs w:val="22"/>
                <w:lang w:bidi="ar"/>
              </w:rPr>
              <w:t>造成较大以上环境污染事件的。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3D19BDB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-30分</w:t>
            </w:r>
          </w:p>
        </w:tc>
      </w:tr>
      <w:tr w14:paraId="21AF42B9">
        <w:tblPrEx>
          <w:tblCellMar>
            <w:top w:w="0" w:type="dxa"/>
            <w:left w:w="108" w:type="dxa"/>
            <w:bottom w:w="0" w:type="dxa"/>
            <w:right w:w="108" w:type="dxa"/>
          </w:tblCellMar>
        </w:tblPrEx>
        <w:trPr>
          <w:trHeight w:val="570"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1D5F1C5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14</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2C05E4">
            <w:pPr>
              <w:jc w:val="left"/>
              <w:rPr>
                <w:rFonts w:hint="eastAsia" w:ascii="宋体" w:hAnsi="宋体" w:cs="宋体"/>
                <w:sz w:val="22"/>
                <w:szCs w:val="22"/>
              </w:rPr>
            </w:pP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1963149B">
            <w:pPr>
              <w:widowControl/>
              <w:jc w:val="left"/>
              <w:textAlignment w:val="center"/>
              <w:rPr>
                <w:rFonts w:hint="eastAsia" w:ascii="宋体" w:hAnsi="宋体" w:cs="宋体"/>
                <w:sz w:val="22"/>
                <w:szCs w:val="22"/>
              </w:rPr>
            </w:pPr>
            <w:r>
              <w:rPr>
                <w:rFonts w:hint="eastAsia" w:ascii="宋体" w:hAnsi="宋体" w:cs="宋体"/>
                <w:kern w:val="0"/>
                <w:sz w:val="22"/>
                <w:szCs w:val="22"/>
                <w:lang w:bidi="ar"/>
              </w:rPr>
              <w:t>因环境违法被生态环境部门处以罚款或停产整顿的。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75BBDDF6">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-15分</w:t>
            </w:r>
          </w:p>
        </w:tc>
      </w:tr>
      <w:tr w14:paraId="4D4270D4">
        <w:tblPrEx>
          <w:tblCellMar>
            <w:top w:w="0" w:type="dxa"/>
            <w:left w:w="108" w:type="dxa"/>
            <w:bottom w:w="0" w:type="dxa"/>
            <w:right w:w="108" w:type="dxa"/>
          </w:tblCellMar>
        </w:tblPrEx>
        <w:trPr>
          <w:trHeight w:val="285"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1BF656D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15</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B13433">
            <w:pPr>
              <w:jc w:val="left"/>
              <w:rPr>
                <w:rFonts w:hint="eastAsia" w:ascii="宋体" w:hAnsi="宋体" w:cs="宋体"/>
                <w:sz w:val="22"/>
                <w:szCs w:val="22"/>
              </w:rPr>
            </w:pP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2687C555">
            <w:pPr>
              <w:widowControl/>
              <w:jc w:val="left"/>
              <w:textAlignment w:val="center"/>
              <w:rPr>
                <w:rFonts w:hint="eastAsia" w:ascii="宋体" w:hAnsi="宋体" w:cs="宋体"/>
                <w:sz w:val="22"/>
                <w:szCs w:val="22"/>
              </w:rPr>
            </w:pPr>
            <w:r>
              <w:rPr>
                <w:rFonts w:hint="eastAsia" w:ascii="宋体" w:hAnsi="宋体" w:cs="宋体"/>
                <w:kern w:val="0"/>
                <w:sz w:val="22"/>
                <w:szCs w:val="22"/>
                <w:lang w:bidi="ar"/>
              </w:rPr>
              <w:t>被生态环境部门警告、通报批评的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6CB5E5B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-3分</w:t>
            </w:r>
          </w:p>
        </w:tc>
      </w:tr>
      <w:tr w14:paraId="71C20FDD">
        <w:tblPrEx>
          <w:tblCellMar>
            <w:top w:w="0" w:type="dxa"/>
            <w:left w:w="108" w:type="dxa"/>
            <w:bottom w:w="0" w:type="dxa"/>
            <w:right w:w="108" w:type="dxa"/>
          </w:tblCellMar>
        </w:tblPrEx>
        <w:trPr>
          <w:trHeight w:val="285"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6099059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16</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A7EB80">
            <w:pPr>
              <w:jc w:val="left"/>
              <w:rPr>
                <w:rFonts w:hint="eastAsia" w:ascii="宋体" w:hAnsi="宋体" w:cs="宋体"/>
                <w:sz w:val="22"/>
                <w:szCs w:val="22"/>
              </w:rPr>
            </w:pP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429859EB">
            <w:pPr>
              <w:widowControl/>
              <w:jc w:val="left"/>
              <w:textAlignment w:val="center"/>
              <w:rPr>
                <w:rFonts w:hint="eastAsia" w:ascii="宋体" w:hAnsi="宋体" w:cs="宋体"/>
                <w:sz w:val="22"/>
                <w:szCs w:val="22"/>
              </w:rPr>
            </w:pPr>
            <w:r>
              <w:rPr>
                <w:rFonts w:hint="eastAsia" w:ascii="宋体" w:hAnsi="宋体" w:cs="宋体"/>
                <w:kern w:val="0"/>
                <w:sz w:val="22"/>
                <w:szCs w:val="22"/>
                <w:lang w:bidi="ar"/>
              </w:rPr>
              <w:t>被园区下达整改逾期未完成的。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797C35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-5分</w:t>
            </w:r>
          </w:p>
        </w:tc>
      </w:tr>
      <w:tr w14:paraId="0EC52160">
        <w:tblPrEx>
          <w:tblCellMar>
            <w:top w:w="0" w:type="dxa"/>
            <w:left w:w="108" w:type="dxa"/>
            <w:bottom w:w="0" w:type="dxa"/>
            <w:right w:w="108" w:type="dxa"/>
          </w:tblCellMar>
        </w:tblPrEx>
        <w:trPr>
          <w:trHeight w:val="285"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2FC36B81">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17</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2569FF">
            <w:pPr>
              <w:jc w:val="left"/>
              <w:rPr>
                <w:rFonts w:hint="eastAsia" w:ascii="宋体" w:hAnsi="宋体" w:cs="宋体"/>
                <w:sz w:val="22"/>
                <w:szCs w:val="22"/>
              </w:rPr>
            </w:pP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492CED77">
            <w:pPr>
              <w:widowControl/>
              <w:jc w:val="left"/>
              <w:textAlignment w:val="center"/>
              <w:rPr>
                <w:rFonts w:hint="eastAsia" w:ascii="宋体" w:hAnsi="宋体" w:cs="宋体"/>
                <w:sz w:val="22"/>
                <w:szCs w:val="22"/>
              </w:rPr>
            </w:pPr>
            <w:r>
              <w:rPr>
                <w:rFonts w:hint="eastAsia" w:ascii="宋体" w:hAnsi="宋体" w:cs="宋体"/>
                <w:kern w:val="0"/>
                <w:sz w:val="22"/>
                <w:szCs w:val="22"/>
                <w:lang w:bidi="ar"/>
              </w:rPr>
              <w:t>被吊销、撤销、没收许可证件的。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C17820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-30分</w:t>
            </w:r>
          </w:p>
        </w:tc>
      </w:tr>
      <w:tr w14:paraId="17F20443">
        <w:tblPrEx>
          <w:tblCellMar>
            <w:top w:w="0" w:type="dxa"/>
            <w:left w:w="108" w:type="dxa"/>
            <w:bottom w:w="0" w:type="dxa"/>
            <w:right w:w="108" w:type="dxa"/>
          </w:tblCellMar>
        </w:tblPrEx>
        <w:trPr>
          <w:trHeight w:val="285"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1A357D9A">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18</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C17987">
            <w:pPr>
              <w:jc w:val="left"/>
              <w:rPr>
                <w:rFonts w:hint="eastAsia" w:ascii="宋体" w:hAnsi="宋体" w:cs="宋体"/>
                <w:sz w:val="22"/>
                <w:szCs w:val="22"/>
              </w:rPr>
            </w:pP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7358E8F7">
            <w:pPr>
              <w:widowControl/>
              <w:jc w:val="left"/>
              <w:textAlignment w:val="center"/>
              <w:rPr>
                <w:rFonts w:hint="eastAsia" w:ascii="宋体" w:hAnsi="宋体" w:cs="宋体"/>
                <w:sz w:val="22"/>
                <w:szCs w:val="22"/>
              </w:rPr>
            </w:pPr>
            <w:r>
              <w:rPr>
                <w:rFonts w:hint="eastAsia" w:ascii="宋体" w:hAnsi="宋体" w:cs="宋体"/>
                <w:kern w:val="0"/>
                <w:sz w:val="22"/>
                <w:szCs w:val="22"/>
                <w:lang w:bidi="ar"/>
              </w:rPr>
              <w:t>因环境犯罪承担刑事责任的。</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77D836C0">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-50分</w:t>
            </w:r>
          </w:p>
        </w:tc>
      </w:tr>
      <w:tr w14:paraId="6DBAB2C7">
        <w:tblPrEx>
          <w:tblCellMar>
            <w:top w:w="0" w:type="dxa"/>
            <w:left w:w="108" w:type="dxa"/>
            <w:bottom w:w="0" w:type="dxa"/>
            <w:right w:w="108" w:type="dxa"/>
          </w:tblCellMar>
        </w:tblPrEx>
        <w:trPr>
          <w:trHeight w:val="285"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366CE555">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19</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A9019B">
            <w:pPr>
              <w:jc w:val="left"/>
              <w:rPr>
                <w:rFonts w:hint="eastAsia" w:ascii="宋体" w:hAnsi="宋体" w:cs="宋体"/>
                <w:sz w:val="22"/>
                <w:szCs w:val="22"/>
              </w:rPr>
            </w:pP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600B0F3E">
            <w:pPr>
              <w:widowControl/>
              <w:jc w:val="left"/>
              <w:textAlignment w:val="center"/>
              <w:rPr>
                <w:rFonts w:hint="eastAsia" w:ascii="宋体" w:hAnsi="宋体" w:cs="宋体"/>
                <w:sz w:val="22"/>
                <w:szCs w:val="22"/>
              </w:rPr>
            </w:pPr>
            <w:r>
              <w:rPr>
                <w:rFonts w:hint="eastAsia" w:ascii="宋体" w:hAnsi="宋体" w:cs="宋体"/>
                <w:kern w:val="0"/>
                <w:sz w:val="22"/>
                <w:szCs w:val="22"/>
                <w:lang w:bidi="ar"/>
              </w:rPr>
              <w:t>省部级生态环境表彰。</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29F04B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+20分</w:t>
            </w:r>
          </w:p>
        </w:tc>
      </w:tr>
      <w:tr w14:paraId="40C10055">
        <w:tblPrEx>
          <w:tblCellMar>
            <w:top w:w="0" w:type="dxa"/>
            <w:left w:w="108" w:type="dxa"/>
            <w:bottom w:w="0" w:type="dxa"/>
            <w:right w:w="108" w:type="dxa"/>
          </w:tblCellMar>
        </w:tblPrEx>
        <w:trPr>
          <w:trHeight w:val="285" w:hRule="atLeast"/>
        </w:trPr>
        <w:tc>
          <w:tcPr>
            <w:tcW w:w="721" w:type="pct"/>
            <w:tcBorders>
              <w:top w:val="single" w:color="000000" w:sz="4" w:space="0"/>
              <w:left w:val="single" w:color="000000" w:sz="4" w:space="0"/>
              <w:bottom w:val="single" w:color="000000" w:sz="4" w:space="0"/>
              <w:right w:val="single" w:color="000000" w:sz="4" w:space="0"/>
            </w:tcBorders>
            <w:noWrap w:val="0"/>
            <w:vAlign w:val="center"/>
          </w:tcPr>
          <w:p w14:paraId="04860C94">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20</w:t>
            </w: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EE8B8D">
            <w:pPr>
              <w:jc w:val="left"/>
              <w:rPr>
                <w:rFonts w:hint="eastAsia" w:ascii="宋体" w:hAnsi="宋体" w:cs="宋体"/>
                <w:sz w:val="22"/>
                <w:szCs w:val="22"/>
              </w:rPr>
            </w:pP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27CF4B5A">
            <w:pPr>
              <w:widowControl/>
              <w:jc w:val="left"/>
              <w:textAlignment w:val="center"/>
              <w:rPr>
                <w:rFonts w:hint="eastAsia" w:ascii="宋体" w:hAnsi="宋体" w:cs="宋体"/>
                <w:sz w:val="22"/>
                <w:szCs w:val="22"/>
              </w:rPr>
            </w:pPr>
            <w:r>
              <w:rPr>
                <w:rFonts w:hint="eastAsia" w:ascii="宋体" w:hAnsi="宋体" w:cs="宋体"/>
                <w:kern w:val="0"/>
                <w:sz w:val="22"/>
                <w:szCs w:val="22"/>
                <w:lang w:bidi="ar"/>
              </w:rPr>
              <w:t>市、区级生态环境表彰。</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6A9567C">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+10分</w:t>
            </w:r>
          </w:p>
        </w:tc>
      </w:tr>
    </w:tbl>
    <w:p w14:paraId="24037181">
      <w:pPr>
        <w:spacing w:line="4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环境信用分为四个等级：环保诚信企业、环保良好企业、环保警示企业和环保不良企业四个等级，依次以绿牌、蓝牌、黄牌、红牌标识。其中：①绿牌：X（得分）≥90分；②蓝牌：90分＞X（得分）≥75分；③黄牌：75分＞X（得分）≥60分；④红牌：X（得分）＜60分。</w:t>
      </w:r>
    </w:p>
    <w:p w14:paraId="6ED465DD">
      <w:pPr>
        <w:rPr>
          <w:rFonts w:hint="eastAsia" w:ascii="仿宋_GB2312" w:hAnsi="仿宋_GB2312" w:eastAsia="仿宋_GB2312" w:cs="仿宋_GB2312"/>
          <w:sz w:val="24"/>
          <w:szCs w:val="24"/>
        </w:rPr>
        <w:sectPr>
          <w:pgSz w:w="11906" w:h="16838"/>
          <w:pgMar w:top="1701" w:right="1531" w:bottom="1701" w:left="1531" w:header="851" w:footer="992" w:gutter="0"/>
          <w:pgNumType w:fmt="numberInDash"/>
          <w:cols w:space="720" w:num="1"/>
          <w:docGrid w:type="lines" w:linePitch="319" w:charSpace="0"/>
        </w:sectPr>
      </w:pPr>
    </w:p>
    <w:p w14:paraId="4CE9D4F7">
      <w:pPr>
        <w:widowControl w:val="0"/>
        <w:spacing w:line="576" w:lineRule="exact"/>
        <w:jc w:val="both"/>
        <w:rPr>
          <w:rFonts w:hint="eastAsia" w:ascii="方正小标宋简体" w:hAnsi="方正小标宋简体" w:eastAsia="方正小标宋简体" w:cs="方正小标宋简体"/>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附表3：</w:t>
      </w:r>
      <w:r>
        <w:rPr>
          <w:rFonts w:hint="eastAsia" w:ascii="仿宋_GB2312" w:hAnsi="仿宋_GB2312" w:eastAsia="仿宋_GB2312" w:cs="仿宋_GB2312"/>
          <w:b w:val="0"/>
          <w:bCs w:val="0"/>
          <w:color w:val="auto"/>
          <w:kern w:val="2"/>
          <w:sz w:val="32"/>
          <w:szCs w:val="32"/>
          <w:lang w:val="en-US" w:eastAsia="zh-CN" w:bidi="ar-SA"/>
        </w:rPr>
        <w:t xml:space="preserve">   </w:t>
      </w:r>
      <w:r>
        <w:rPr>
          <w:rFonts w:hint="eastAsia" w:ascii="方正小标宋简体" w:hAnsi="方正小标宋简体" w:eastAsia="方正小标宋简体" w:cs="方正小标宋简体"/>
          <w:b w:val="0"/>
          <w:bCs w:val="0"/>
          <w:color w:val="auto"/>
          <w:kern w:val="2"/>
          <w:sz w:val="32"/>
          <w:szCs w:val="32"/>
          <w:lang w:val="en-US" w:eastAsia="zh-CN" w:bidi="ar-SA"/>
        </w:rPr>
        <w:t>新余经济开发区企业分类管理综合评价表</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876"/>
        <w:gridCol w:w="1668"/>
        <w:gridCol w:w="1463"/>
        <w:gridCol w:w="1489"/>
        <w:gridCol w:w="201"/>
        <w:gridCol w:w="1170"/>
      </w:tblGrid>
      <w:tr w14:paraId="4AAC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noWrap w:val="0"/>
            <w:vAlign w:val="center"/>
          </w:tcPr>
          <w:p w14:paraId="21DB8F2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企业名称</w:t>
            </w:r>
          </w:p>
        </w:tc>
        <w:tc>
          <w:tcPr>
            <w:tcW w:w="4030" w:type="pct"/>
            <w:gridSpan w:val="6"/>
            <w:noWrap w:val="0"/>
            <w:vAlign w:val="center"/>
          </w:tcPr>
          <w:p w14:paraId="4156DBA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280" w:firstLineChars="10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r>
      <w:tr w14:paraId="3D5B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vMerge w:val="restart"/>
            <w:noWrap w:val="0"/>
            <w:vAlign w:val="center"/>
          </w:tcPr>
          <w:p w14:paraId="5E13ACF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企业负责人</w:t>
            </w:r>
          </w:p>
        </w:tc>
        <w:tc>
          <w:tcPr>
            <w:tcW w:w="514" w:type="pct"/>
            <w:noWrap w:val="0"/>
            <w:vAlign w:val="center"/>
          </w:tcPr>
          <w:p w14:paraId="304E584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姓名</w:t>
            </w:r>
          </w:p>
        </w:tc>
        <w:tc>
          <w:tcPr>
            <w:tcW w:w="979" w:type="pct"/>
            <w:noWrap w:val="0"/>
            <w:vAlign w:val="center"/>
          </w:tcPr>
          <w:p w14:paraId="393D622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280" w:firstLineChars="10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c>
          <w:tcPr>
            <w:tcW w:w="859" w:type="pct"/>
            <w:vMerge w:val="restart"/>
            <w:noWrap w:val="0"/>
            <w:vAlign w:val="center"/>
          </w:tcPr>
          <w:p w14:paraId="06106B2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员工</w:t>
            </w:r>
          </w:p>
          <w:p w14:paraId="004AB0B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（共 人）</w:t>
            </w:r>
          </w:p>
        </w:tc>
        <w:tc>
          <w:tcPr>
            <w:tcW w:w="992" w:type="pct"/>
            <w:gridSpan w:val="2"/>
            <w:noWrap w:val="0"/>
            <w:vAlign w:val="center"/>
          </w:tcPr>
          <w:p w14:paraId="043F4B0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研究生以上</w:t>
            </w:r>
          </w:p>
        </w:tc>
        <w:tc>
          <w:tcPr>
            <w:tcW w:w="685" w:type="pct"/>
            <w:noWrap w:val="0"/>
            <w:vAlign w:val="center"/>
          </w:tcPr>
          <w:p w14:paraId="27A11E7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default"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人</w:t>
            </w:r>
          </w:p>
        </w:tc>
      </w:tr>
      <w:tr w14:paraId="79B6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vMerge w:val="continue"/>
            <w:noWrap w:val="0"/>
            <w:vAlign w:val="center"/>
          </w:tcPr>
          <w:p w14:paraId="48E5640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c>
          <w:tcPr>
            <w:tcW w:w="514" w:type="pct"/>
            <w:noWrap w:val="0"/>
            <w:vAlign w:val="center"/>
          </w:tcPr>
          <w:p w14:paraId="3948AC3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电话</w:t>
            </w:r>
          </w:p>
        </w:tc>
        <w:tc>
          <w:tcPr>
            <w:tcW w:w="979" w:type="pct"/>
            <w:noWrap w:val="0"/>
            <w:vAlign w:val="center"/>
          </w:tcPr>
          <w:p w14:paraId="7C9BFE6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280" w:firstLineChars="10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c>
          <w:tcPr>
            <w:tcW w:w="859" w:type="pct"/>
            <w:vMerge w:val="continue"/>
            <w:noWrap w:val="0"/>
            <w:vAlign w:val="center"/>
          </w:tcPr>
          <w:p w14:paraId="240528A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c>
          <w:tcPr>
            <w:tcW w:w="992" w:type="pct"/>
            <w:gridSpan w:val="2"/>
            <w:noWrap w:val="0"/>
            <w:vAlign w:val="center"/>
          </w:tcPr>
          <w:p w14:paraId="24EA13D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大专以上</w:t>
            </w:r>
          </w:p>
        </w:tc>
        <w:tc>
          <w:tcPr>
            <w:tcW w:w="685" w:type="pct"/>
            <w:noWrap w:val="0"/>
            <w:vAlign w:val="center"/>
          </w:tcPr>
          <w:p w14:paraId="35BAEB3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人</w:t>
            </w:r>
          </w:p>
        </w:tc>
      </w:tr>
      <w:tr w14:paraId="50BB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vMerge w:val="restart"/>
            <w:noWrap w:val="0"/>
            <w:vAlign w:val="center"/>
          </w:tcPr>
          <w:p w14:paraId="15E85A2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财务负责人</w:t>
            </w:r>
          </w:p>
        </w:tc>
        <w:tc>
          <w:tcPr>
            <w:tcW w:w="514" w:type="pct"/>
            <w:noWrap w:val="0"/>
            <w:vAlign w:val="center"/>
          </w:tcPr>
          <w:p w14:paraId="5C9DFBC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姓名</w:t>
            </w:r>
          </w:p>
        </w:tc>
        <w:tc>
          <w:tcPr>
            <w:tcW w:w="979" w:type="pct"/>
            <w:noWrap w:val="0"/>
            <w:vAlign w:val="center"/>
          </w:tcPr>
          <w:p w14:paraId="58C6381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c>
          <w:tcPr>
            <w:tcW w:w="859" w:type="pct"/>
            <w:vMerge w:val="continue"/>
            <w:noWrap w:val="0"/>
            <w:vAlign w:val="center"/>
          </w:tcPr>
          <w:p w14:paraId="6910E43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c>
          <w:tcPr>
            <w:tcW w:w="992" w:type="pct"/>
            <w:gridSpan w:val="2"/>
            <w:noWrap w:val="0"/>
            <w:vAlign w:val="center"/>
          </w:tcPr>
          <w:p w14:paraId="511B3D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大专以下</w:t>
            </w:r>
          </w:p>
        </w:tc>
        <w:tc>
          <w:tcPr>
            <w:tcW w:w="685" w:type="pct"/>
            <w:noWrap w:val="0"/>
            <w:vAlign w:val="center"/>
          </w:tcPr>
          <w:p w14:paraId="2BE8B45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人</w:t>
            </w:r>
          </w:p>
        </w:tc>
      </w:tr>
      <w:tr w14:paraId="4559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vMerge w:val="continue"/>
            <w:noWrap w:val="0"/>
            <w:vAlign w:val="center"/>
          </w:tcPr>
          <w:p w14:paraId="1F12D91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c>
          <w:tcPr>
            <w:tcW w:w="514" w:type="pct"/>
            <w:noWrap w:val="0"/>
            <w:vAlign w:val="center"/>
          </w:tcPr>
          <w:p w14:paraId="72B7001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电话</w:t>
            </w:r>
          </w:p>
        </w:tc>
        <w:tc>
          <w:tcPr>
            <w:tcW w:w="979" w:type="pct"/>
            <w:noWrap w:val="0"/>
            <w:vAlign w:val="center"/>
          </w:tcPr>
          <w:p w14:paraId="17A17A6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c>
          <w:tcPr>
            <w:tcW w:w="859" w:type="pct"/>
            <w:vMerge w:val="continue"/>
            <w:noWrap w:val="0"/>
            <w:vAlign w:val="center"/>
          </w:tcPr>
          <w:p w14:paraId="59A5F25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c>
          <w:tcPr>
            <w:tcW w:w="992" w:type="pct"/>
            <w:gridSpan w:val="2"/>
            <w:noWrap w:val="0"/>
            <w:vAlign w:val="center"/>
          </w:tcPr>
          <w:p w14:paraId="2DA51C3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省外</w:t>
            </w:r>
          </w:p>
        </w:tc>
        <w:tc>
          <w:tcPr>
            <w:tcW w:w="685" w:type="pct"/>
            <w:noWrap w:val="0"/>
            <w:vAlign w:val="center"/>
          </w:tcPr>
          <w:p w14:paraId="6C9D7B5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人</w:t>
            </w:r>
          </w:p>
        </w:tc>
      </w:tr>
      <w:tr w14:paraId="086A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noWrap w:val="0"/>
            <w:vAlign w:val="center"/>
          </w:tcPr>
          <w:p w14:paraId="3F9C982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占地面积</w:t>
            </w:r>
          </w:p>
        </w:tc>
        <w:tc>
          <w:tcPr>
            <w:tcW w:w="1493" w:type="pct"/>
            <w:gridSpan w:val="2"/>
            <w:noWrap w:val="0"/>
            <w:vAlign w:val="center"/>
          </w:tcPr>
          <w:p w14:paraId="7C9091B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val="0"/>
                <w:bCs w:val="0"/>
                <w:snapToGrid w:val="0"/>
                <w:color w:val="auto"/>
                <w:kern w:val="0"/>
                <w:sz w:val="24"/>
                <w:szCs w:val="24"/>
                <w:highlight w:val="none"/>
                <w:vertAlign w:val="baseline"/>
                <w:lang w:val="en-US" w:eastAsia="zh-CN"/>
              </w:rPr>
              <w:t>土地（亩）：</w:t>
            </w:r>
          </w:p>
          <w:p w14:paraId="61642B8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val="0"/>
                <w:bCs w:val="0"/>
                <w:snapToGrid w:val="0"/>
                <w:color w:val="auto"/>
                <w:kern w:val="0"/>
                <w:sz w:val="24"/>
                <w:szCs w:val="24"/>
                <w:highlight w:val="none"/>
                <w:vertAlign w:val="baseline"/>
                <w:lang w:val="en-US" w:eastAsia="zh-CN"/>
              </w:rPr>
              <w:t>厂房（平方米）：</w:t>
            </w:r>
          </w:p>
        </w:tc>
        <w:tc>
          <w:tcPr>
            <w:tcW w:w="859" w:type="pct"/>
            <w:vMerge w:val="continue"/>
            <w:noWrap w:val="0"/>
            <w:vAlign w:val="center"/>
          </w:tcPr>
          <w:p w14:paraId="7E13FF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c>
          <w:tcPr>
            <w:tcW w:w="992" w:type="pct"/>
            <w:gridSpan w:val="2"/>
            <w:noWrap w:val="0"/>
            <w:vAlign w:val="center"/>
          </w:tcPr>
          <w:p w14:paraId="7B83A05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省内</w:t>
            </w:r>
          </w:p>
        </w:tc>
        <w:tc>
          <w:tcPr>
            <w:tcW w:w="685" w:type="pct"/>
            <w:noWrap w:val="0"/>
            <w:vAlign w:val="center"/>
          </w:tcPr>
          <w:p w14:paraId="0262304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人</w:t>
            </w:r>
          </w:p>
        </w:tc>
      </w:tr>
      <w:tr w14:paraId="7813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noWrap w:val="0"/>
            <w:vAlign w:val="center"/>
          </w:tcPr>
          <w:p w14:paraId="31BA358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default"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项目合同书</w:t>
            </w:r>
          </w:p>
        </w:tc>
        <w:tc>
          <w:tcPr>
            <w:tcW w:w="1493" w:type="pct"/>
            <w:gridSpan w:val="2"/>
            <w:noWrap w:val="0"/>
            <w:vAlign w:val="center"/>
          </w:tcPr>
          <w:p w14:paraId="015056D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default"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val="0"/>
                <w:bCs w:val="0"/>
                <w:snapToGrid w:val="0"/>
                <w:color w:val="auto"/>
                <w:kern w:val="0"/>
                <w:sz w:val="24"/>
                <w:szCs w:val="24"/>
                <w:highlight w:val="none"/>
                <w:vertAlign w:val="baseline"/>
                <w:lang w:val="en-US" w:eastAsia="zh-CN"/>
              </w:rPr>
              <w:t>于XX年签订</w:t>
            </w:r>
          </w:p>
        </w:tc>
        <w:tc>
          <w:tcPr>
            <w:tcW w:w="859" w:type="pct"/>
            <w:vMerge w:val="continue"/>
            <w:noWrap w:val="0"/>
            <w:vAlign w:val="center"/>
          </w:tcPr>
          <w:p w14:paraId="462C06A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c>
          <w:tcPr>
            <w:tcW w:w="992" w:type="pct"/>
            <w:gridSpan w:val="2"/>
            <w:noWrap w:val="0"/>
            <w:vAlign w:val="center"/>
          </w:tcPr>
          <w:p w14:paraId="68696CB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default"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中共党员</w:t>
            </w:r>
          </w:p>
        </w:tc>
        <w:tc>
          <w:tcPr>
            <w:tcW w:w="685" w:type="pct"/>
            <w:noWrap w:val="0"/>
            <w:vAlign w:val="center"/>
          </w:tcPr>
          <w:p w14:paraId="29F6039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人</w:t>
            </w:r>
          </w:p>
        </w:tc>
      </w:tr>
      <w:tr w14:paraId="1EFA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noWrap w:val="0"/>
            <w:vAlign w:val="center"/>
          </w:tcPr>
          <w:p w14:paraId="3421697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default"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立项批复</w:t>
            </w:r>
          </w:p>
        </w:tc>
        <w:tc>
          <w:tcPr>
            <w:tcW w:w="1493" w:type="pct"/>
            <w:gridSpan w:val="2"/>
            <w:noWrap w:val="0"/>
            <w:vAlign w:val="center"/>
          </w:tcPr>
          <w:p w14:paraId="2A8B57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c>
          <w:tcPr>
            <w:tcW w:w="859" w:type="pct"/>
            <w:noWrap w:val="0"/>
            <w:vAlign w:val="center"/>
          </w:tcPr>
          <w:p w14:paraId="5A0B91C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能评批复</w:t>
            </w:r>
          </w:p>
        </w:tc>
        <w:tc>
          <w:tcPr>
            <w:tcW w:w="1677" w:type="pct"/>
            <w:gridSpan w:val="3"/>
            <w:noWrap w:val="0"/>
            <w:vAlign w:val="center"/>
          </w:tcPr>
          <w:p w14:paraId="6624443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r>
      <w:tr w14:paraId="61AB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noWrap w:val="0"/>
            <w:vAlign w:val="center"/>
          </w:tcPr>
          <w:p w14:paraId="5063DA8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default"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环评批复</w:t>
            </w:r>
          </w:p>
        </w:tc>
        <w:tc>
          <w:tcPr>
            <w:tcW w:w="1493" w:type="pct"/>
            <w:gridSpan w:val="2"/>
            <w:noWrap w:val="0"/>
            <w:vAlign w:val="center"/>
          </w:tcPr>
          <w:p w14:paraId="60EEB48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c>
          <w:tcPr>
            <w:tcW w:w="859" w:type="pct"/>
            <w:noWrap w:val="0"/>
            <w:vAlign w:val="center"/>
          </w:tcPr>
          <w:p w14:paraId="73E6C8E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val="0"/>
                <w:bCs w:val="0"/>
                <w:snapToGrid w:val="0"/>
                <w:color w:val="auto"/>
                <w:kern w:val="0"/>
                <w:sz w:val="28"/>
                <w:szCs w:val="28"/>
                <w:highlight w:val="none"/>
                <w:vertAlign w:val="baseline"/>
                <w:lang w:val="en-US" w:eastAsia="zh-CN"/>
              </w:rPr>
              <w:t>安评批复</w:t>
            </w:r>
          </w:p>
        </w:tc>
        <w:tc>
          <w:tcPr>
            <w:tcW w:w="1677" w:type="pct"/>
            <w:gridSpan w:val="3"/>
            <w:noWrap w:val="0"/>
            <w:vAlign w:val="center"/>
          </w:tcPr>
          <w:p w14:paraId="0D57ACB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r>
      <w:tr w14:paraId="0F95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7"/>
            <w:noWrap w:val="0"/>
            <w:vAlign w:val="center"/>
          </w:tcPr>
          <w:p w14:paraId="03A2016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bCs/>
                <w:snapToGrid w:val="0"/>
                <w:color w:val="auto"/>
                <w:kern w:val="0"/>
                <w:sz w:val="28"/>
                <w:szCs w:val="28"/>
                <w:highlight w:val="none"/>
                <w:vertAlign w:val="baseline"/>
                <w:lang w:val="en-US" w:eastAsia="zh-CN"/>
              </w:rPr>
              <w:t>评价得分</w:t>
            </w:r>
          </w:p>
        </w:tc>
      </w:tr>
      <w:tr w14:paraId="283B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noWrap w:val="0"/>
            <w:vAlign w:val="center"/>
          </w:tcPr>
          <w:p w14:paraId="04F82D8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default"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bCs/>
                <w:snapToGrid w:val="0"/>
                <w:color w:val="auto"/>
                <w:kern w:val="0"/>
                <w:sz w:val="28"/>
                <w:szCs w:val="28"/>
                <w:highlight w:val="none"/>
                <w:vertAlign w:val="baseline"/>
                <w:lang w:val="en-US" w:eastAsia="zh-CN"/>
              </w:rPr>
              <w:t>计分项</w:t>
            </w:r>
          </w:p>
        </w:tc>
        <w:tc>
          <w:tcPr>
            <w:tcW w:w="1493" w:type="pct"/>
            <w:gridSpan w:val="2"/>
            <w:noWrap w:val="0"/>
            <w:vAlign w:val="center"/>
          </w:tcPr>
          <w:p w14:paraId="6F5C183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bCs/>
                <w:snapToGrid w:val="0"/>
                <w:color w:val="auto"/>
                <w:kern w:val="0"/>
                <w:sz w:val="28"/>
                <w:szCs w:val="28"/>
                <w:highlight w:val="none"/>
                <w:vertAlign w:val="baseline"/>
                <w:lang w:val="en-US" w:eastAsia="zh-CN"/>
              </w:rPr>
              <w:t>具体得分项目</w:t>
            </w:r>
          </w:p>
        </w:tc>
        <w:tc>
          <w:tcPr>
            <w:tcW w:w="859" w:type="pct"/>
            <w:noWrap w:val="0"/>
            <w:vAlign w:val="center"/>
          </w:tcPr>
          <w:p w14:paraId="3878E9E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bCs/>
                <w:snapToGrid w:val="0"/>
                <w:color w:val="auto"/>
                <w:kern w:val="0"/>
                <w:sz w:val="28"/>
                <w:szCs w:val="28"/>
                <w:highlight w:val="none"/>
                <w:vertAlign w:val="baseline"/>
                <w:lang w:val="en-US" w:eastAsia="zh-CN"/>
              </w:rPr>
              <w:t>自评得分</w:t>
            </w:r>
          </w:p>
        </w:tc>
        <w:tc>
          <w:tcPr>
            <w:tcW w:w="1677" w:type="pct"/>
            <w:gridSpan w:val="3"/>
            <w:noWrap w:val="0"/>
            <w:vAlign w:val="center"/>
          </w:tcPr>
          <w:p w14:paraId="2103D0C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bCs/>
                <w:snapToGrid w:val="0"/>
                <w:color w:val="auto"/>
                <w:kern w:val="0"/>
                <w:sz w:val="28"/>
                <w:szCs w:val="28"/>
                <w:highlight w:val="none"/>
                <w:vertAlign w:val="baseline"/>
                <w:lang w:val="en-US" w:eastAsia="zh-CN"/>
              </w:rPr>
              <w:t>得分依据</w:t>
            </w:r>
          </w:p>
        </w:tc>
      </w:tr>
      <w:tr w14:paraId="3057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vMerge w:val="restart"/>
            <w:noWrap w:val="0"/>
            <w:vAlign w:val="center"/>
          </w:tcPr>
          <w:p w14:paraId="7850006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r>
              <w:rPr>
                <w:rFonts w:hint="eastAsia" w:ascii="仿宋" w:hAnsi="仿宋" w:eastAsia="仿宋" w:cs="仿宋"/>
                <w:b/>
                <w:bCs/>
                <w:snapToGrid w:val="0"/>
                <w:color w:val="auto"/>
                <w:kern w:val="0"/>
                <w:sz w:val="24"/>
                <w:szCs w:val="24"/>
                <w:highlight w:val="none"/>
                <w:vertAlign w:val="baseline"/>
                <w:lang w:val="en-US" w:eastAsia="zh-CN"/>
              </w:rPr>
              <w:t>经济贡献</w:t>
            </w:r>
          </w:p>
          <w:p w14:paraId="18E9B3F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r>
              <w:rPr>
                <w:rFonts w:hint="eastAsia" w:ascii="仿宋" w:hAnsi="仿宋" w:eastAsia="仿宋" w:cs="仿宋"/>
                <w:b/>
                <w:bCs/>
                <w:snapToGrid w:val="0"/>
                <w:color w:val="auto"/>
                <w:kern w:val="0"/>
                <w:sz w:val="24"/>
                <w:szCs w:val="24"/>
                <w:highlight w:val="none"/>
                <w:vertAlign w:val="baseline"/>
                <w:lang w:val="en-US" w:eastAsia="zh-CN"/>
              </w:rPr>
              <w:t>（30分）</w:t>
            </w:r>
          </w:p>
        </w:tc>
        <w:tc>
          <w:tcPr>
            <w:tcW w:w="1493" w:type="pct"/>
            <w:gridSpan w:val="2"/>
            <w:noWrap w:val="0"/>
            <w:vAlign w:val="center"/>
          </w:tcPr>
          <w:p w14:paraId="1365182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default" w:ascii="仿宋" w:hAnsi="仿宋" w:eastAsia="仿宋" w:cs="仿宋"/>
                <w:b w:val="0"/>
                <w:bCs w:val="0"/>
                <w:snapToGrid w:val="0"/>
                <w:color w:val="auto"/>
                <w:kern w:val="0"/>
                <w:sz w:val="24"/>
                <w:szCs w:val="24"/>
                <w:highlight w:val="none"/>
                <w:vertAlign w:val="baseline"/>
                <w:lang w:val="en-US" w:eastAsia="zh-CN"/>
              </w:rPr>
              <w:t>亩均</w:t>
            </w:r>
            <w:r>
              <w:rPr>
                <w:rFonts w:hint="eastAsia" w:ascii="仿宋" w:hAnsi="仿宋" w:eastAsia="仿宋" w:cs="仿宋"/>
                <w:b w:val="0"/>
                <w:bCs w:val="0"/>
                <w:snapToGrid w:val="0"/>
                <w:color w:val="auto"/>
                <w:kern w:val="0"/>
                <w:sz w:val="24"/>
                <w:szCs w:val="24"/>
                <w:highlight w:val="none"/>
                <w:vertAlign w:val="baseline"/>
                <w:lang w:val="en-US" w:eastAsia="zh-CN"/>
              </w:rPr>
              <w:t>产值（15分）</w:t>
            </w:r>
          </w:p>
        </w:tc>
        <w:tc>
          <w:tcPr>
            <w:tcW w:w="859" w:type="pct"/>
            <w:noWrap w:val="0"/>
            <w:vAlign w:val="center"/>
          </w:tcPr>
          <w:p w14:paraId="54CE495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c>
          <w:tcPr>
            <w:tcW w:w="1677" w:type="pct"/>
            <w:gridSpan w:val="3"/>
            <w:noWrap w:val="0"/>
            <w:vAlign w:val="center"/>
          </w:tcPr>
          <w:p w14:paraId="1030981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r>
      <w:tr w14:paraId="4A3C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vMerge w:val="continue"/>
            <w:noWrap w:val="0"/>
            <w:vAlign w:val="center"/>
          </w:tcPr>
          <w:p w14:paraId="24AAE46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p>
        </w:tc>
        <w:tc>
          <w:tcPr>
            <w:tcW w:w="1493" w:type="pct"/>
            <w:gridSpan w:val="2"/>
            <w:noWrap w:val="0"/>
            <w:vAlign w:val="center"/>
          </w:tcPr>
          <w:p w14:paraId="61147A0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default" w:ascii="仿宋" w:hAnsi="仿宋" w:eastAsia="仿宋" w:cs="仿宋"/>
                <w:b w:val="0"/>
                <w:bCs w:val="0"/>
                <w:snapToGrid w:val="0"/>
                <w:color w:val="auto"/>
                <w:kern w:val="0"/>
                <w:sz w:val="24"/>
                <w:szCs w:val="24"/>
                <w:highlight w:val="none"/>
                <w:vertAlign w:val="baseline"/>
                <w:lang w:val="en-US" w:eastAsia="zh-CN"/>
              </w:rPr>
              <w:t>亩均</w:t>
            </w:r>
            <w:r>
              <w:rPr>
                <w:rFonts w:hint="eastAsia" w:ascii="仿宋" w:hAnsi="仿宋" w:eastAsia="仿宋" w:cs="仿宋"/>
                <w:b w:val="0"/>
                <w:bCs w:val="0"/>
                <w:snapToGrid w:val="0"/>
                <w:color w:val="auto"/>
                <w:kern w:val="0"/>
                <w:sz w:val="24"/>
                <w:szCs w:val="24"/>
                <w:highlight w:val="none"/>
                <w:vertAlign w:val="baseline"/>
                <w:lang w:val="en-US" w:eastAsia="zh-CN"/>
              </w:rPr>
              <w:t>税收（15分）</w:t>
            </w:r>
          </w:p>
        </w:tc>
        <w:tc>
          <w:tcPr>
            <w:tcW w:w="859" w:type="pct"/>
            <w:noWrap w:val="0"/>
            <w:vAlign w:val="center"/>
          </w:tcPr>
          <w:p w14:paraId="2FDF778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c>
          <w:tcPr>
            <w:tcW w:w="1677" w:type="pct"/>
            <w:gridSpan w:val="3"/>
            <w:noWrap w:val="0"/>
            <w:vAlign w:val="center"/>
          </w:tcPr>
          <w:p w14:paraId="376D9CA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r>
      <w:tr w14:paraId="770F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noWrap w:val="0"/>
            <w:vAlign w:val="center"/>
          </w:tcPr>
          <w:p w14:paraId="544C227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r>
              <w:rPr>
                <w:rFonts w:hint="eastAsia" w:ascii="仿宋" w:hAnsi="仿宋" w:eastAsia="仿宋" w:cs="仿宋"/>
                <w:b/>
                <w:bCs/>
                <w:snapToGrid w:val="0"/>
                <w:color w:val="auto"/>
                <w:kern w:val="0"/>
                <w:sz w:val="24"/>
                <w:szCs w:val="24"/>
                <w:highlight w:val="none"/>
                <w:vertAlign w:val="baseline"/>
                <w:lang w:val="en-US" w:eastAsia="zh-CN"/>
              </w:rPr>
              <w:t>社会贡献</w:t>
            </w:r>
          </w:p>
          <w:p w14:paraId="27B7AC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r>
              <w:rPr>
                <w:rFonts w:hint="eastAsia" w:ascii="仿宋" w:hAnsi="仿宋" w:eastAsia="仿宋" w:cs="仿宋"/>
                <w:b/>
                <w:bCs/>
                <w:snapToGrid w:val="0"/>
                <w:color w:val="auto"/>
                <w:kern w:val="0"/>
                <w:sz w:val="24"/>
                <w:szCs w:val="24"/>
                <w:highlight w:val="none"/>
                <w:vertAlign w:val="baseline"/>
                <w:lang w:val="en-US" w:eastAsia="zh-CN"/>
              </w:rPr>
              <w:t>（5分）</w:t>
            </w:r>
          </w:p>
        </w:tc>
        <w:tc>
          <w:tcPr>
            <w:tcW w:w="1493" w:type="pct"/>
            <w:gridSpan w:val="2"/>
            <w:noWrap w:val="0"/>
            <w:vAlign w:val="center"/>
          </w:tcPr>
          <w:p w14:paraId="3F15EF9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val="0"/>
                <w:bCs w:val="0"/>
                <w:snapToGrid w:val="0"/>
                <w:color w:val="auto"/>
                <w:kern w:val="0"/>
                <w:sz w:val="24"/>
                <w:szCs w:val="24"/>
                <w:highlight w:val="none"/>
                <w:vertAlign w:val="baseline"/>
                <w:lang w:val="en-US" w:eastAsia="zh-CN"/>
              </w:rPr>
              <w:t>就业情况（5分）</w:t>
            </w:r>
          </w:p>
        </w:tc>
        <w:tc>
          <w:tcPr>
            <w:tcW w:w="859" w:type="pct"/>
            <w:noWrap w:val="0"/>
            <w:vAlign w:val="center"/>
          </w:tcPr>
          <w:p w14:paraId="622799B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c>
          <w:tcPr>
            <w:tcW w:w="1677" w:type="pct"/>
            <w:gridSpan w:val="3"/>
            <w:noWrap w:val="0"/>
            <w:vAlign w:val="center"/>
          </w:tcPr>
          <w:p w14:paraId="71C7825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r>
      <w:tr w14:paraId="1B5B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vMerge w:val="restart"/>
            <w:noWrap w:val="0"/>
            <w:vAlign w:val="center"/>
          </w:tcPr>
          <w:p w14:paraId="0A993D1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r>
              <w:rPr>
                <w:rFonts w:hint="eastAsia" w:ascii="仿宋" w:hAnsi="仿宋" w:eastAsia="仿宋" w:cs="仿宋"/>
                <w:b/>
                <w:bCs/>
                <w:snapToGrid w:val="0"/>
                <w:color w:val="auto"/>
                <w:kern w:val="0"/>
                <w:sz w:val="24"/>
                <w:szCs w:val="24"/>
                <w:highlight w:val="none"/>
                <w:vertAlign w:val="baseline"/>
                <w:lang w:val="en-US" w:eastAsia="zh-CN"/>
              </w:rPr>
              <w:t>企业创新</w:t>
            </w:r>
          </w:p>
          <w:p w14:paraId="64D5DB5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r>
              <w:rPr>
                <w:rFonts w:hint="eastAsia" w:ascii="仿宋" w:hAnsi="仿宋" w:eastAsia="仿宋" w:cs="仿宋"/>
                <w:b/>
                <w:bCs/>
                <w:snapToGrid w:val="0"/>
                <w:color w:val="auto"/>
                <w:kern w:val="0"/>
                <w:sz w:val="24"/>
                <w:szCs w:val="24"/>
                <w:highlight w:val="none"/>
                <w:vertAlign w:val="baseline"/>
                <w:lang w:val="en-US" w:eastAsia="zh-CN"/>
              </w:rPr>
              <w:t>（25分）</w:t>
            </w:r>
          </w:p>
        </w:tc>
        <w:tc>
          <w:tcPr>
            <w:tcW w:w="1493" w:type="pct"/>
            <w:gridSpan w:val="2"/>
            <w:noWrap w:val="0"/>
            <w:vAlign w:val="center"/>
          </w:tcPr>
          <w:p w14:paraId="644FD93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val="0"/>
                <w:bCs w:val="0"/>
                <w:snapToGrid w:val="0"/>
                <w:color w:val="auto"/>
                <w:kern w:val="0"/>
                <w:sz w:val="24"/>
                <w:szCs w:val="24"/>
                <w:highlight w:val="none"/>
                <w:vertAlign w:val="baseline"/>
                <w:lang w:val="en-US" w:eastAsia="zh-CN"/>
              </w:rPr>
              <w:t>专利情况（6分）</w:t>
            </w:r>
          </w:p>
        </w:tc>
        <w:tc>
          <w:tcPr>
            <w:tcW w:w="859" w:type="pct"/>
            <w:noWrap w:val="0"/>
            <w:vAlign w:val="center"/>
          </w:tcPr>
          <w:p w14:paraId="1F602D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c>
          <w:tcPr>
            <w:tcW w:w="1677" w:type="pct"/>
            <w:gridSpan w:val="3"/>
            <w:noWrap w:val="0"/>
            <w:vAlign w:val="center"/>
          </w:tcPr>
          <w:p w14:paraId="31F7AD2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r>
      <w:tr w14:paraId="394D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vMerge w:val="continue"/>
            <w:noWrap w:val="0"/>
            <w:vAlign w:val="center"/>
          </w:tcPr>
          <w:p w14:paraId="2464E04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p>
        </w:tc>
        <w:tc>
          <w:tcPr>
            <w:tcW w:w="1493" w:type="pct"/>
            <w:gridSpan w:val="2"/>
            <w:noWrap w:val="0"/>
            <w:vAlign w:val="center"/>
          </w:tcPr>
          <w:p w14:paraId="10671F5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val="0"/>
                <w:bCs w:val="0"/>
                <w:snapToGrid w:val="0"/>
                <w:color w:val="auto"/>
                <w:kern w:val="0"/>
                <w:sz w:val="24"/>
                <w:szCs w:val="24"/>
                <w:highlight w:val="none"/>
                <w:vertAlign w:val="baseline"/>
                <w:lang w:val="en-US" w:eastAsia="zh-CN"/>
              </w:rPr>
              <w:t>研发投入占比（8分）</w:t>
            </w:r>
          </w:p>
        </w:tc>
        <w:tc>
          <w:tcPr>
            <w:tcW w:w="859" w:type="pct"/>
            <w:noWrap w:val="0"/>
            <w:vAlign w:val="center"/>
          </w:tcPr>
          <w:p w14:paraId="713F28D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c>
          <w:tcPr>
            <w:tcW w:w="1677" w:type="pct"/>
            <w:gridSpan w:val="3"/>
            <w:noWrap w:val="0"/>
            <w:vAlign w:val="center"/>
          </w:tcPr>
          <w:p w14:paraId="4E1D163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r>
      <w:tr w14:paraId="67FE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vMerge w:val="continue"/>
            <w:noWrap w:val="0"/>
            <w:vAlign w:val="center"/>
          </w:tcPr>
          <w:p w14:paraId="2BB6052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p>
        </w:tc>
        <w:tc>
          <w:tcPr>
            <w:tcW w:w="1493" w:type="pct"/>
            <w:gridSpan w:val="2"/>
            <w:noWrap w:val="0"/>
            <w:vAlign w:val="center"/>
          </w:tcPr>
          <w:p w14:paraId="090979C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val="0"/>
                <w:bCs w:val="0"/>
                <w:snapToGrid w:val="0"/>
                <w:color w:val="auto"/>
                <w:kern w:val="0"/>
                <w:sz w:val="24"/>
                <w:szCs w:val="24"/>
                <w:highlight w:val="none"/>
                <w:vertAlign w:val="baseline"/>
                <w:lang w:val="en-US" w:eastAsia="zh-CN"/>
              </w:rPr>
              <w:t>技术认证（5分）</w:t>
            </w:r>
          </w:p>
        </w:tc>
        <w:tc>
          <w:tcPr>
            <w:tcW w:w="859" w:type="pct"/>
            <w:noWrap w:val="0"/>
            <w:vAlign w:val="center"/>
          </w:tcPr>
          <w:p w14:paraId="7AF8CCE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c>
          <w:tcPr>
            <w:tcW w:w="1677" w:type="pct"/>
            <w:gridSpan w:val="3"/>
            <w:noWrap w:val="0"/>
            <w:vAlign w:val="center"/>
          </w:tcPr>
          <w:p w14:paraId="2D0B7D2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r>
      <w:tr w14:paraId="4C7C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vMerge w:val="continue"/>
            <w:noWrap w:val="0"/>
            <w:vAlign w:val="center"/>
          </w:tcPr>
          <w:p w14:paraId="66E4AB6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p>
        </w:tc>
        <w:tc>
          <w:tcPr>
            <w:tcW w:w="1493" w:type="pct"/>
            <w:gridSpan w:val="2"/>
            <w:noWrap w:val="0"/>
            <w:vAlign w:val="center"/>
          </w:tcPr>
          <w:p w14:paraId="5A729FC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val="0"/>
                <w:bCs w:val="0"/>
                <w:snapToGrid w:val="0"/>
                <w:color w:val="auto"/>
                <w:kern w:val="0"/>
                <w:sz w:val="24"/>
                <w:szCs w:val="24"/>
                <w:highlight w:val="none"/>
                <w:vertAlign w:val="baseline"/>
                <w:lang w:val="en-US" w:eastAsia="zh-CN"/>
              </w:rPr>
              <w:t>人才引育（6分）</w:t>
            </w:r>
          </w:p>
        </w:tc>
        <w:tc>
          <w:tcPr>
            <w:tcW w:w="859" w:type="pct"/>
            <w:noWrap w:val="0"/>
            <w:vAlign w:val="center"/>
          </w:tcPr>
          <w:p w14:paraId="0D89A1B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c>
          <w:tcPr>
            <w:tcW w:w="1677" w:type="pct"/>
            <w:gridSpan w:val="3"/>
            <w:noWrap w:val="0"/>
            <w:vAlign w:val="center"/>
          </w:tcPr>
          <w:p w14:paraId="083316D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r>
      <w:tr w14:paraId="118E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noWrap w:val="0"/>
            <w:vAlign w:val="center"/>
          </w:tcPr>
          <w:p w14:paraId="009C3F8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r>
              <w:rPr>
                <w:rFonts w:hint="eastAsia" w:ascii="仿宋" w:hAnsi="仿宋" w:eastAsia="仿宋" w:cs="仿宋"/>
                <w:b/>
                <w:bCs/>
                <w:snapToGrid w:val="0"/>
                <w:color w:val="auto"/>
                <w:kern w:val="0"/>
                <w:sz w:val="24"/>
                <w:szCs w:val="24"/>
                <w:highlight w:val="none"/>
                <w:vertAlign w:val="baseline"/>
                <w:lang w:val="en-US" w:eastAsia="zh-CN"/>
              </w:rPr>
              <w:t>安全生产</w:t>
            </w:r>
          </w:p>
          <w:p w14:paraId="397EA0C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r>
              <w:rPr>
                <w:rFonts w:hint="eastAsia" w:ascii="仿宋" w:hAnsi="仿宋" w:eastAsia="仿宋" w:cs="仿宋"/>
                <w:b/>
                <w:bCs/>
                <w:snapToGrid w:val="0"/>
                <w:color w:val="auto"/>
                <w:kern w:val="0"/>
                <w:sz w:val="24"/>
                <w:szCs w:val="24"/>
                <w:highlight w:val="none"/>
                <w:vertAlign w:val="baseline"/>
                <w:lang w:val="en-US" w:eastAsia="zh-CN"/>
              </w:rPr>
              <w:t>（15分）</w:t>
            </w:r>
          </w:p>
        </w:tc>
        <w:tc>
          <w:tcPr>
            <w:tcW w:w="1493" w:type="pct"/>
            <w:gridSpan w:val="2"/>
            <w:noWrap w:val="0"/>
            <w:vAlign w:val="center"/>
          </w:tcPr>
          <w:p w14:paraId="36EB88B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c>
          <w:tcPr>
            <w:tcW w:w="859" w:type="pct"/>
            <w:noWrap w:val="0"/>
            <w:vAlign w:val="center"/>
          </w:tcPr>
          <w:p w14:paraId="2AFAFA7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c>
          <w:tcPr>
            <w:tcW w:w="1677" w:type="pct"/>
            <w:gridSpan w:val="3"/>
            <w:noWrap w:val="0"/>
            <w:vAlign w:val="center"/>
          </w:tcPr>
          <w:p w14:paraId="578035F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r>
      <w:tr w14:paraId="5E91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noWrap w:val="0"/>
            <w:vAlign w:val="center"/>
          </w:tcPr>
          <w:p w14:paraId="6A3CD3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r>
              <w:rPr>
                <w:rFonts w:hint="eastAsia" w:ascii="仿宋" w:hAnsi="仿宋" w:eastAsia="仿宋" w:cs="仿宋"/>
                <w:b/>
                <w:bCs/>
                <w:snapToGrid w:val="0"/>
                <w:color w:val="auto"/>
                <w:kern w:val="0"/>
                <w:sz w:val="24"/>
                <w:szCs w:val="24"/>
                <w:highlight w:val="none"/>
                <w:vertAlign w:val="baseline"/>
                <w:lang w:val="en-US" w:eastAsia="zh-CN"/>
              </w:rPr>
              <w:t>绿色环保</w:t>
            </w:r>
          </w:p>
          <w:p w14:paraId="74F1B85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r>
              <w:rPr>
                <w:rFonts w:hint="eastAsia" w:ascii="仿宋" w:hAnsi="仿宋" w:eastAsia="仿宋" w:cs="仿宋"/>
                <w:b/>
                <w:bCs/>
                <w:snapToGrid w:val="0"/>
                <w:color w:val="auto"/>
                <w:kern w:val="0"/>
                <w:sz w:val="24"/>
                <w:szCs w:val="24"/>
                <w:highlight w:val="none"/>
                <w:vertAlign w:val="baseline"/>
                <w:lang w:val="en-US" w:eastAsia="zh-CN"/>
              </w:rPr>
              <w:t>（15分）</w:t>
            </w:r>
          </w:p>
        </w:tc>
        <w:tc>
          <w:tcPr>
            <w:tcW w:w="1493" w:type="pct"/>
            <w:gridSpan w:val="2"/>
            <w:noWrap w:val="0"/>
            <w:vAlign w:val="center"/>
          </w:tcPr>
          <w:p w14:paraId="6B2DC56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c>
          <w:tcPr>
            <w:tcW w:w="859" w:type="pct"/>
            <w:noWrap w:val="0"/>
            <w:vAlign w:val="center"/>
          </w:tcPr>
          <w:p w14:paraId="50B98E7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c>
          <w:tcPr>
            <w:tcW w:w="1677" w:type="pct"/>
            <w:gridSpan w:val="3"/>
            <w:noWrap w:val="0"/>
            <w:vAlign w:val="center"/>
          </w:tcPr>
          <w:p w14:paraId="7787BA6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r>
      <w:tr w14:paraId="48B0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noWrap w:val="0"/>
            <w:vAlign w:val="center"/>
          </w:tcPr>
          <w:p w14:paraId="41A4B04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r>
              <w:rPr>
                <w:rFonts w:hint="eastAsia" w:ascii="仿宋" w:hAnsi="仿宋" w:eastAsia="仿宋" w:cs="仿宋"/>
                <w:b/>
                <w:bCs/>
                <w:snapToGrid w:val="0"/>
                <w:color w:val="auto"/>
                <w:kern w:val="0"/>
                <w:sz w:val="24"/>
                <w:szCs w:val="24"/>
                <w:highlight w:val="none"/>
                <w:vertAlign w:val="baseline"/>
                <w:lang w:val="en-US" w:eastAsia="zh-CN"/>
              </w:rPr>
              <w:t>其他工作</w:t>
            </w:r>
          </w:p>
          <w:p w14:paraId="21CF741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r>
              <w:rPr>
                <w:rFonts w:hint="eastAsia" w:ascii="仿宋" w:hAnsi="仿宋" w:eastAsia="仿宋" w:cs="仿宋"/>
                <w:b/>
                <w:bCs/>
                <w:snapToGrid w:val="0"/>
                <w:color w:val="auto"/>
                <w:kern w:val="0"/>
                <w:sz w:val="24"/>
                <w:szCs w:val="24"/>
                <w:highlight w:val="none"/>
                <w:vertAlign w:val="baseline"/>
                <w:lang w:val="en-US" w:eastAsia="zh-CN"/>
              </w:rPr>
              <w:t>（10分）</w:t>
            </w:r>
          </w:p>
        </w:tc>
        <w:tc>
          <w:tcPr>
            <w:tcW w:w="1493" w:type="pct"/>
            <w:gridSpan w:val="2"/>
            <w:noWrap w:val="0"/>
            <w:vAlign w:val="center"/>
          </w:tcPr>
          <w:p w14:paraId="12F80E6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default" w:ascii="仿宋" w:hAnsi="仿宋" w:eastAsia="仿宋" w:cs="仿宋"/>
                <w:b w:val="0"/>
                <w:bCs w:val="0"/>
                <w:snapToGrid w:val="0"/>
                <w:color w:val="auto"/>
                <w:kern w:val="0"/>
                <w:sz w:val="24"/>
                <w:szCs w:val="24"/>
                <w:highlight w:val="none"/>
                <w:vertAlign w:val="baseline"/>
                <w:lang w:val="en-US" w:eastAsia="zh-CN"/>
              </w:rPr>
            </w:pPr>
          </w:p>
        </w:tc>
        <w:tc>
          <w:tcPr>
            <w:tcW w:w="859" w:type="pct"/>
            <w:noWrap w:val="0"/>
            <w:vAlign w:val="center"/>
          </w:tcPr>
          <w:p w14:paraId="2CA802D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c>
          <w:tcPr>
            <w:tcW w:w="1677" w:type="pct"/>
            <w:gridSpan w:val="3"/>
            <w:noWrap w:val="0"/>
            <w:vAlign w:val="center"/>
          </w:tcPr>
          <w:p w14:paraId="78B05AD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r>
      <w:tr w14:paraId="5077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7"/>
            <w:noWrap w:val="0"/>
            <w:vAlign w:val="center"/>
          </w:tcPr>
          <w:p w14:paraId="202E0EE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bCs/>
                <w:snapToGrid w:val="0"/>
                <w:color w:val="auto"/>
                <w:kern w:val="0"/>
                <w:sz w:val="28"/>
                <w:szCs w:val="28"/>
                <w:highlight w:val="none"/>
                <w:vertAlign w:val="baseline"/>
                <w:lang w:val="en-US" w:eastAsia="zh-CN"/>
              </w:rPr>
              <w:t>加分项</w:t>
            </w:r>
          </w:p>
        </w:tc>
      </w:tr>
      <w:tr w14:paraId="2646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noWrap w:val="0"/>
            <w:vAlign w:val="center"/>
          </w:tcPr>
          <w:p w14:paraId="236D103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bCs/>
                <w:snapToGrid w:val="0"/>
                <w:color w:val="auto"/>
                <w:kern w:val="0"/>
                <w:sz w:val="28"/>
                <w:szCs w:val="28"/>
                <w:highlight w:val="none"/>
                <w:vertAlign w:val="baseline"/>
                <w:lang w:val="en-US" w:eastAsia="zh-CN"/>
              </w:rPr>
              <w:t>计分项</w:t>
            </w:r>
          </w:p>
        </w:tc>
        <w:tc>
          <w:tcPr>
            <w:tcW w:w="1493" w:type="pct"/>
            <w:gridSpan w:val="2"/>
            <w:noWrap w:val="0"/>
            <w:vAlign w:val="center"/>
          </w:tcPr>
          <w:p w14:paraId="64E4B8C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default"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bCs/>
                <w:snapToGrid w:val="0"/>
                <w:color w:val="auto"/>
                <w:kern w:val="0"/>
                <w:sz w:val="28"/>
                <w:szCs w:val="28"/>
                <w:highlight w:val="none"/>
                <w:vertAlign w:val="baseline"/>
                <w:lang w:val="en-US" w:eastAsia="zh-CN"/>
              </w:rPr>
              <w:t>具体得分项目</w:t>
            </w:r>
          </w:p>
        </w:tc>
        <w:tc>
          <w:tcPr>
            <w:tcW w:w="859" w:type="pct"/>
            <w:noWrap w:val="0"/>
            <w:vAlign w:val="center"/>
          </w:tcPr>
          <w:p w14:paraId="7A04CC4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default"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bCs/>
                <w:snapToGrid w:val="0"/>
                <w:color w:val="auto"/>
                <w:kern w:val="0"/>
                <w:sz w:val="28"/>
                <w:szCs w:val="28"/>
                <w:highlight w:val="none"/>
                <w:vertAlign w:val="baseline"/>
                <w:lang w:val="en-US" w:eastAsia="zh-CN"/>
              </w:rPr>
              <w:t>评价得分</w:t>
            </w:r>
          </w:p>
        </w:tc>
        <w:tc>
          <w:tcPr>
            <w:tcW w:w="872" w:type="pct"/>
            <w:noWrap w:val="0"/>
            <w:vAlign w:val="center"/>
          </w:tcPr>
          <w:p w14:paraId="67C81A7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r>
              <w:rPr>
                <w:rFonts w:hint="eastAsia" w:ascii="仿宋" w:hAnsi="仿宋" w:eastAsia="仿宋" w:cs="仿宋"/>
                <w:b/>
                <w:bCs/>
                <w:snapToGrid w:val="0"/>
                <w:color w:val="auto"/>
                <w:kern w:val="0"/>
                <w:sz w:val="28"/>
                <w:szCs w:val="28"/>
                <w:highlight w:val="none"/>
                <w:vertAlign w:val="baseline"/>
                <w:lang w:val="en-US" w:eastAsia="zh-CN"/>
              </w:rPr>
              <w:t>评级部门</w:t>
            </w:r>
          </w:p>
        </w:tc>
        <w:tc>
          <w:tcPr>
            <w:tcW w:w="804" w:type="pct"/>
            <w:gridSpan w:val="2"/>
            <w:noWrap w:val="0"/>
            <w:vAlign w:val="center"/>
          </w:tcPr>
          <w:p w14:paraId="2405C5F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8"/>
                <w:szCs w:val="28"/>
                <w:highlight w:val="none"/>
                <w:vertAlign w:val="baseline"/>
                <w:lang w:val="en-US" w:eastAsia="zh-CN"/>
              </w:rPr>
            </w:pPr>
            <w:r>
              <w:rPr>
                <w:rFonts w:hint="eastAsia" w:ascii="仿宋" w:hAnsi="仿宋" w:eastAsia="仿宋" w:cs="仿宋"/>
                <w:b/>
                <w:bCs/>
                <w:snapToGrid w:val="0"/>
                <w:color w:val="auto"/>
                <w:kern w:val="0"/>
                <w:sz w:val="28"/>
                <w:szCs w:val="28"/>
                <w:highlight w:val="none"/>
                <w:vertAlign w:val="baseline"/>
                <w:lang w:val="en-US" w:eastAsia="zh-CN"/>
              </w:rPr>
              <w:t>得分依据</w:t>
            </w:r>
          </w:p>
        </w:tc>
      </w:tr>
      <w:tr w14:paraId="572D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vMerge w:val="restart"/>
            <w:noWrap w:val="0"/>
            <w:vAlign w:val="center"/>
          </w:tcPr>
          <w:p w14:paraId="4649D79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r>
              <w:rPr>
                <w:rFonts w:hint="eastAsia" w:ascii="仿宋" w:hAnsi="仿宋" w:eastAsia="仿宋" w:cs="仿宋"/>
                <w:b/>
                <w:bCs/>
                <w:snapToGrid w:val="0"/>
                <w:color w:val="auto"/>
                <w:kern w:val="0"/>
                <w:sz w:val="24"/>
                <w:szCs w:val="24"/>
                <w:highlight w:val="none"/>
                <w:vertAlign w:val="baseline"/>
                <w:lang w:val="en-US" w:eastAsia="zh-CN"/>
              </w:rPr>
              <w:t>加分</w:t>
            </w:r>
          </w:p>
          <w:p w14:paraId="7A5BA68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r>
              <w:rPr>
                <w:rFonts w:hint="eastAsia" w:ascii="仿宋" w:hAnsi="仿宋" w:eastAsia="仿宋" w:cs="仿宋"/>
                <w:b/>
                <w:bCs/>
                <w:snapToGrid w:val="0"/>
                <w:color w:val="auto"/>
                <w:kern w:val="0"/>
                <w:sz w:val="24"/>
                <w:szCs w:val="24"/>
                <w:highlight w:val="none"/>
                <w:vertAlign w:val="baseline"/>
                <w:lang w:val="en-US" w:eastAsia="zh-CN"/>
              </w:rPr>
              <w:t>（不封顶）</w:t>
            </w:r>
          </w:p>
        </w:tc>
        <w:tc>
          <w:tcPr>
            <w:tcW w:w="1493" w:type="pct"/>
            <w:gridSpan w:val="2"/>
            <w:noWrap w:val="0"/>
            <w:vAlign w:val="center"/>
          </w:tcPr>
          <w:p w14:paraId="3B2117D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val="0"/>
                <w:bCs w:val="0"/>
                <w:snapToGrid w:val="0"/>
                <w:color w:val="auto"/>
                <w:kern w:val="0"/>
                <w:sz w:val="24"/>
                <w:szCs w:val="24"/>
                <w:highlight w:val="none"/>
                <w:vertAlign w:val="baseline"/>
                <w:lang w:val="en-US" w:eastAsia="zh-CN"/>
              </w:rPr>
              <w:t>生产经营指标</w:t>
            </w:r>
          </w:p>
        </w:tc>
        <w:tc>
          <w:tcPr>
            <w:tcW w:w="859" w:type="pct"/>
            <w:noWrap w:val="0"/>
            <w:vAlign w:val="center"/>
          </w:tcPr>
          <w:p w14:paraId="2FE65D9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c>
          <w:tcPr>
            <w:tcW w:w="872" w:type="pct"/>
            <w:noWrap w:val="0"/>
            <w:vAlign w:val="center"/>
          </w:tcPr>
          <w:p w14:paraId="6A2E971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val="0"/>
                <w:bCs w:val="0"/>
                <w:snapToGrid w:val="0"/>
                <w:color w:val="auto"/>
                <w:kern w:val="0"/>
                <w:sz w:val="24"/>
                <w:szCs w:val="24"/>
                <w:highlight w:val="none"/>
                <w:vertAlign w:val="baseline"/>
                <w:lang w:val="en-US" w:eastAsia="zh-CN"/>
              </w:rPr>
              <w:t>经济发展部</w:t>
            </w:r>
          </w:p>
        </w:tc>
        <w:tc>
          <w:tcPr>
            <w:tcW w:w="804" w:type="pct"/>
            <w:gridSpan w:val="2"/>
            <w:noWrap w:val="0"/>
            <w:vAlign w:val="center"/>
          </w:tcPr>
          <w:p w14:paraId="50BBF28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r>
      <w:tr w14:paraId="13C8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vMerge w:val="continue"/>
            <w:noWrap w:val="0"/>
            <w:vAlign w:val="center"/>
          </w:tcPr>
          <w:p w14:paraId="2E41E3C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p>
        </w:tc>
        <w:tc>
          <w:tcPr>
            <w:tcW w:w="1493" w:type="pct"/>
            <w:gridSpan w:val="2"/>
            <w:noWrap w:val="0"/>
            <w:vAlign w:val="center"/>
          </w:tcPr>
          <w:p w14:paraId="5C1E74E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val="0"/>
                <w:bCs w:val="0"/>
                <w:snapToGrid w:val="0"/>
                <w:color w:val="auto"/>
                <w:kern w:val="0"/>
                <w:sz w:val="24"/>
                <w:szCs w:val="24"/>
                <w:highlight w:val="none"/>
                <w:vertAlign w:val="baseline"/>
                <w:lang w:val="en-US" w:eastAsia="zh-CN"/>
              </w:rPr>
              <w:t>科技创新指标</w:t>
            </w:r>
          </w:p>
        </w:tc>
        <w:tc>
          <w:tcPr>
            <w:tcW w:w="859" w:type="pct"/>
            <w:noWrap w:val="0"/>
            <w:vAlign w:val="center"/>
          </w:tcPr>
          <w:p w14:paraId="33ABAC2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c>
          <w:tcPr>
            <w:tcW w:w="872" w:type="pct"/>
            <w:noWrap w:val="0"/>
            <w:vAlign w:val="center"/>
          </w:tcPr>
          <w:p w14:paraId="3AC5D1C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val="0"/>
                <w:bCs w:val="0"/>
                <w:snapToGrid w:val="0"/>
                <w:color w:val="auto"/>
                <w:kern w:val="0"/>
                <w:sz w:val="24"/>
                <w:szCs w:val="24"/>
                <w:highlight w:val="none"/>
                <w:vertAlign w:val="baseline"/>
                <w:lang w:val="en-US" w:eastAsia="zh-CN"/>
              </w:rPr>
              <w:t>经济发展部</w:t>
            </w:r>
          </w:p>
        </w:tc>
        <w:tc>
          <w:tcPr>
            <w:tcW w:w="804" w:type="pct"/>
            <w:gridSpan w:val="2"/>
            <w:noWrap w:val="0"/>
            <w:vAlign w:val="center"/>
          </w:tcPr>
          <w:p w14:paraId="70FDC7E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r>
      <w:tr w14:paraId="361E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vMerge w:val="continue"/>
            <w:noWrap w:val="0"/>
            <w:vAlign w:val="center"/>
          </w:tcPr>
          <w:p w14:paraId="46CDD53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p>
        </w:tc>
        <w:tc>
          <w:tcPr>
            <w:tcW w:w="1493" w:type="pct"/>
            <w:gridSpan w:val="2"/>
            <w:noWrap w:val="0"/>
            <w:vAlign w:val="center"/>
          </w:tcPr>
          <w:p w14:paraId="1A490FA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val="0"/>
                <w:bCs w:val="0"/>
                <w:snapToGrid w:val="0"/>
                <w:color w:val="auto"/>
                <w:kern w:val="0"/>
                <w:sz w:val="24"/>
                <w:szCs w:val="24"/>
                <w:highlight w:val="none"/>
                <w:vertAlign w:val="baseline"/>
                <w:lang w:val="en-US" w:eastAsia="zh-CN"/>
              </w:rPr>
              <w:t>企业管理指标</w:t>
            </w:r>
          </w:p>
        </w:tc>
        <w:tc>
          <w:tcPr>
            <w:tcW w:w="859" w:type="pct"/>
            <w:noWrap w:val="0"/>
            <w:vAlign w:val="center"/>
          </w:tcPr>
          <w:p w14:paraId="66DC77E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default" w:ascii="仿宋" w:hAnsi="仿宋" w:eastAsia="仿宋" w:cs="仿宋"/>
                <w:b w:val="0"/>
                <w:bCs w:val="0"/>
                <w:snapToGrid w:val="0"/>
                <w:color w:val="auto"/>
                <w:kern w:val="0"/>
                <w:sz w:val="24"/>
                <w:szCs w:val="24"/>
                <w:highlight w:val="none"/>
                <w:vertAlign w:val="baseline"/>
                <w:lang w:val="en-US" w:eastAsia="zh-CN"/>
              </w:rPr>
            </w:pPr>
          </w:p>
        </w:tc>
        <w:tc>
          <w:tcPr>
            <w:tcW w:w="872" w:type="pct"/>
            <w:noWrap w:val="0"/>
            <w:vAlign w:val="center"/>
          </w:tcPr>
          <w:p w14:paraId="32054D2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val="0"/>
                <w:bCs w:val="0"/>
                <w:snapToGrid w:val="0"/>
                <w:color w:val="auto"/>
                <w:kern w:val="0"/>
                <w:sz w:val="24"/>
                <w:szCs w:val="24"/>
                <w:highlight w:val="none"/>
                <w:vertAlign w:val="baseline"/>
                <w:lang w:val="en-US" w:eastAsia="zh-CN"/>
              </w:rPr>
              <w:t>营商服务部</w:t>
            </w:r>
          </w:p>
        </w:tc>
        <w:tc>
          <w:tcPr>
            <w:tcW w:w="804" w:type="pct"/>
            <w:gridSpan w:val="2"/>
            <w:noWrap w:val="0"/>
            <w:vAlign w:val="center"/>
          </w:tcPr>
          <w:p w14:paraId="0FACA70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r>
      <w:tr w14:paraId="5EF7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9" w:type="pct"/>
            <w:vMerge w:val="continue"/>
            <w:noWrap w:val="0"/>
            <w:vAlign w:val="center"/>
          </w:tcPr>
          <w:p w14:paraId="5C744DF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auto"/>
                <w:kern w:val="0"/>
                <w:sz w:val="24"/>
                <w:szCs w:val="24"/>
                <w:highlight w:val="none"/>
                <w:vertAlign w:val="baseline"/>
                <w:lang w:val="en-US" w:eastAsia="zh-CN"/>
              </w:rPr>
            </w:pPr>
          </w:p>
        </w:tc>
        <w:tc>
          <w:tcPr>
            <w:tcW w:w="1493" w:type="pct"/>
            <w:gridSpan w:val="2"/>
            <w:noWrap w:val="0"/>
            <w:vAlign w:val="center"/>
          </w:tcPr>
          <w:p w14:paraId="3B65BD7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val="0"/>
                <w:bCs w:val="0"/>
                <w:snapToGrid w:val="0"/>
                <w:color w:val="auto"/>
                <w:kern w:val="0"/>
                <w:sz w:val="24"/>
                <w:szCs w:val="24"/>
                <w:highlight w:val="none"/>
                <w:vertAlign w:val="baseline"/>
                <w:lang w:val="en-US" w:eastAsia="zh-CN"/>
              </w:rPr>
              <w:t>招商引资指标</w:t>
            </w:r>
          </w:p>
        </w:tc>
        <w:tc>
          <w:tcPr>
            <w:tcW w:w="859" w:type="pct"/>
            <w:noWrap w:val="0"/>
            <w:vAlign w:val="center"/>
          </w:tcPr>
          <w:p w14:paraId="31BF7A0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default" w:ascii="仿宋" w:hAnsi="仿宋" w:eastAsia="仿宋" w:cs="仿宋"/>
                <w:b w:val="0"/>
                <w:bCs w:val="0"/>
                <w:snapToGrid w:val="0"/>
                <w:color w:val="auto"/>
                <w:kern w:val="0"/>
                <w:sz w:val="24"/>
                <w:szCs w:val="24"/>
                <w:highlight w:val="none"/>
                <w:vertAlign w:val="baseline"/>
                <w:lang w:val="en-US" w:eastAsia="zh-CN"/>
              </w:rPr>
            </w:pPr>
          </w:p>
        </w:tc>
        <w:tc>
          <w:tcPr>
            <w:tcW w:w="872" w:type="pct"/>
            <w:noWrap w:val="0"/>
            <w:vAlign w:val="center"/>
          </w:tcPr>
          <w:p w14:paraId="59D63BD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val="0"/>
                <w:bCs w:val="0"/>
                <w:snapToGrid w:val="0"/>
                <w:color w:val="auto"/>
                <w:kern w:val="0"/>
                <w:sz w:val="24"/>
                <w:szCs w:val="24"/>
                <w:highlight w:val="none"/>
                <w:vertAlign w:val="baseline"/>
                <w:lang w:val="en-US" w:eastAsia="zh-CN"/>
              </w:rPr>
              <w:t>营商服务部</w:t>
            </w:r>
          </w:p>
        </w:tc>
        <w:tc>
          <w:tcPr>
            <w:tcW w:w="804" w:type="pct"/>
            <w:gridSpan w:val="2"/>
            <w:noWrap w:val="0"/>
            <w:vAlign w:val="center"/>
          </w:tcPr>
          <w:p w14:paraId="2F83BB0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r>
      <w:tr w14:paraId="057D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95" w:type="pct"/>
            <w:gridSpan w:val="5"/>
            <w:noWrap w:val="0"/>
            <w:vAlign w:val="center"/>
          </w:tcPr>
          <w:p w14:paraId="39D383A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r>
              <w:rPr>
                <w:rFonts w:hint="eastAsia" w:ascii="仿宋" w:hAnsi="仿宋" w:eastAsia="仿宋" w:cs="仿宋"/>
                <w:b/>
                <w:bCs/>
                <w:snapToGrid w:val="0"/>
                <w:color w:val="auto"/>
                <w:kern w:val="0"/>
                <w:sz w:val="28"/>
                <w:szCs w:val="28"/>
                <w:highlight w:val="none"/>
                <w:vertAlign w:val="baseline"/>
                <w:lang w:val="en-US" w:eastAsia="zh-CN"/>
              </w:rPr>
              <w:t>最终评价得分</w:t>
            </w:r>
          </w:p>
        </w:tc>
        <w:tc>
          <w:tcPr>
            <w:tcW w:w="804" w:type="pct"/>
            <w:gridSpan w:val="2"/>
            <w:noWrap w:val="0"/>
            <w:vAlign w:val="center"/>
          </w:tcPr>
          <w:p w14:paraId="2F5E1A7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4"/>
                <w:szCs w:val="24"/>
                <w:highlight w:val="none"/>
                <w:vertAlign w:val="baseline"/>
                <w:lang w:val="en-US" w:eastAsia="zh-CN"/>
              </w:rPr>
            </w:pPr>
          </w:p>
        </w:tc>
      </w:tr>
      <w:tr w14:paraId="53A7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2" w:hRule="atLeast"/>
        </w:trPr>
        <w:tc>
          <w:tcPr>
            <w:tcW w:w="969" w:type="pct"/>
            <w:noWrap w:val="0"/>
            <w:vAlign w:val="center"/>
          </w:tcPr>
          <w:p w14:paraId="0475FFC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lang w:val="en-US" w:eastAsia="zh-CN"/>
              </w:rPr>
            </w:pPr>
            <w:r>
              <w:rPr>
                <w:rFonts w:hint="eastAsia" w:ascii="仿宋" w:hAnsi="仿宋" w:eastAsia="仿宋" w:cs="仿宋"/>
                <w:b w:val="0"/>
                <w:bCs w:val="0"/>
                <w:snapToGrid w:val="0"/>
                <w:color w:val="auto"/>
                <w:kern w:val="0"/>
                <w:sz w:val="28"/>
                <w:szCs w:val="28"/>
                <w:highlight w:val="none"/>
                <w:lang w:val="en-US" w:eastAsia="zh-CN"/>
              </w:rPr>
              <w:t>企</w:t>
            </w:r>
          </w:p>
          <w:p w14:paraId="108664C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lang w:val="en-US" w:eastAsia="zh-CN"/>
              </w:rPr>
            </w:pPr>
            <w:r>
              <w:rPr>
                <w:rFonts w:hint="eastAsia" w:ascii="仿宋" w:hAnsi="仿宋" w:eastAsia="仿宋" w:cs="仿宋"/>
                <w:b w:val="0"/>
                <w:bCs w:val="0"/>
                <w:snapToGrid w:val="0"/>
                <w:color w:val="auto"/>
                <w:kern w:val="0"/>
                <w:sz w:val="28"/>
                <w:szCs w:val="28"/>
                <w:highlight w:val="none"/>
                <w:lang w:val="en-US" w:eastAsia="zh-CN"/>
              </w:rPr>
              <w:t>业</w:t>
            </w:r>
          </w:p>
          <w:p w14:paraId="32C9F6B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lang w:val="en-US" w:eastAsia="zh-CN"/>
              </w:rPr>
            </w:pPr>
            <w:r>
              <w:rPr>
                <w:rFonts w:hint="eastAsia" w:ascii="仿宋" w:hAnsi="仿宋" w:eastAsia="仿宋" w:cs="仿宋"/>
                <w:b w:val="0"/>
                <w:bCs w:val="0"/>
                <w:snapToGrid w:val="0"/>
                <w:color w:val="auto"/>
                <w:kern w:val="0"/>
                <w:sz w:val="28"/>
                <w:szCs w:val="28"/>
                <w:highlight w:val="none"/>
                <w:lang w:val="en-US" w:eastAsia="zh-CN"/>
              </w:rPr>
              <w:t>简</w:t>
            </w:r>
          </w:p>
          <w:p w14:paraId="610E494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default" w:ascii="仿宋" w:hAnsi="仿宋" w:eastAsia="仿宋" w:cs="仿宋"/>
                <w:b w:val="0"/>
                <w:bCs w:val="0"/>
                <w:snapToGrid w:val="0"/>
                <w:color w:val="auto"/>
                <w:kern w:val="0"/>
                <w:sz w:val="28"/>
                <w:szCs w:val="28"/>
                <w:highlight w:val="none"/>
                <w:lang w:val="en-US" w:eastAsia="zh-CN"/>
              </w:rPr>
            </w:pPr>
            <w:r>
              <w:rPr>
                <w:rFonts w:hint="eastAsia" w:ascii="仿宋" w:hAnsi="仿宋" w:eastAsia="仿宋" w:cs="仿宋"/>
                <w:b w:val="0"/>
                <w:bCs w:val="0"/>
                <w:snapToGrid w:val="0"/>
                <w:color w:val="auto"/>
                <w:kern w:val="0"/>
                <w:sz w:val="28"/>
                <w:szCs w:val="28"/>
                <w:highlight w:val="none"/>
                <w:lang w:val="en-US" w:eastAsia="zh-CN"/>
              </w:rPr>
              <w:t>介</w:t>
            </w:r>
          </w:p>
        </w:tc>
        <w:tc>
          <w:tcPr>
            <w:tcW w:w="4030" w:type="pct"/>
            <w:gridSpan w:val="6"/>
            <w:noWrap w:val="0"/>
            <w:vAlign w:val="center"/>
          </w:tcPr>
          <w:p w14:paraId="2251D64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p w14:paraId="552A4C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280" w:firstLineChars="10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p w14:paraId="51FC62C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p w14:paraId="7DEF075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280" w:firstLineChars="10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p w14:paraId="7260082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280" w:firstLineChars="10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p w14:paraId="47CB2C5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280" w:firstLineChars="10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p w14:paraId="4A2BC92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280" w:firstLineChars="10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p w14:paraId="75EA82C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280" w:firstLineChars="100"/>
              <w:jc w:val="center"/>
              <w:textAlignment w:val="baseline"/>
              <w:rPr>
                <w:rFonts w:hint="eastAsia" w:ascii="仿宋" w:hAnsi="仿宋" w:eastAsia="仿宋" w:cs="仿宋"/>
                <w:b w:val="0"/>
                <w:bCs w:val="0"/>
                <w:snapToGrid w:val="0"/>
                <w:color w:val="auto"/>
                <w:kern w:val="0"/>
                <w:sz w:val="28"/>
                <w:szCs w:val="28"/>
                <w:highlight w:val="none"/>
                <w:vertAlign w:val="baseline"/>
                <w:lang w:val="en-US" w:eastAsia="zh-CN"/>
              </w:rPr>
            </w:pPr>
          </w:p>
        </w:tc>
      </w:tr>
    </w:tbl>
    <w:p w14:paraId="351325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89D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347068B">
                          <w:pPr>
                            <w:pStyle w:val="2"/>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347068B">
                    <w:pPr>
                      <w:pStyle w:val="2"/>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2518121-026E-49D1-ADB7-E41177363BC6}"/>
    <w:docVar w:name="DocumentName" w:val="文字文稿7"/>
  </w:docVars>
  <w:rsids>
    <w:rsidRoot w:val="5A40527F"/>
    <w:rsid w:val="0FFB21D9"/>
    <w:rsid w:val="11572A67"/>
    <w:rsid w:val="2BCC48D2"/>
    <w:rsid w:val="2CA60278"/>
    <w:rsid w:val="36BD9380"/>
    <w:rsid w:val="5A40527F"/>
    <w:rsid w:val="673F65BF"/>
    <w:rsid w:val="B77FB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styleId="4">
    <w:name w:val="Table Grid"/>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9</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2025-11-18T11:48:00Z</dcterms:created>
  <dc:creator>缺觉户(彭青龙)</dc:creator>
  <cp:lastModifiedBy>user</cp:lastModifiedBy>
  <dcterms:modified xsi:type="dcterms:W3CDTF">2026-02-09T09:22:07Z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9AA97AF3484438F3A6348969696D3949_42</vt:lpwstr>
  </property>
</Properties>
</file>