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三、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2021年渝水区一般公共预算收入决算的说明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2021 年，因经济恢复性增长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产业税收延续向好势头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0"/>
          <w:szCs w:val="30"/>
        </w:rPr>
        <w:t>全区一般公共预算收入完成225890万元，完成年初预算101.2%，同比下降1%(剔除省与市县收入划分改革调整因素，同口径比增长13.4%)。其中税收收入完成189951万元，占一般公共预算收入比重84.1%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，下降2.4%,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(剔除省与市县收入划分改革调整因素，同口径比增长15%)，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非税收入完成35939万元，增长7.1%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。一般公共预算收入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主要项目完成情况如下：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税收收入完成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189951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万元，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下降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2.4%，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其中：增值税89322 万元，下降13.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08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%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，主要是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省与市县收入划分改革调整因素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企业所得税25983万元，增长5.2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%；个人所得税11710万元，增长34.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47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%；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资源税146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万元，下降86.63%，城市维护建设税16769万元，增长20.66%，房产税2805万元，下降4.27%，印花税4208万元，增长42.07%，城镇土地使用税6521万元，增长19.52%，土地增值税14637万元，增长0.91%，车船税842万元，增长26.81%，耕地占用税-74万元，下降139.36%，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契税16831万元，增长2.5%；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环境保护税153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万元，下降19.9%，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其他税收收入98万元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，下降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31.47%，</w:t>
      </w:r>
      <w:r>
        <w:rPr>
          <w:rFonts w:hint="eastAsia" w:ascii="仿宋" w:hAnsi="仿宋" w:eastAsia="仿宋" w:cs="仿宋"/>
          <w:sz w:val="30"/>
          <w:szCs w:val="30"/>
        </w:rPr>
        <w:t>主要是 2020年清缴营业税欠税较多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非税收入完成35939万元，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增长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7.06%，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其中：专项收入8463万元，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增长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20.3%；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行政事业性收费收入6390万元，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增长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204.29%，</w:t>
      </w:r>
      <w:r>
        <w:rPr>
          <w:rFonts w:hint="eastAsia" w:ascii="仿宋" w:hAnsi="仿宋" w:eastAsia="仿宋" w:cs="仿宋"/>
          <w:sz w:val="30"/>
          <w:szCs w:val="30"/>
        </w:rPr>
        <w:t>主要是法院等部门行政事业性收费收入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和</w:t>
      </w:r>
      <w:r>
        <w:rPr>
          <w:rFonts w:hint="eastAsia" w:ascii="仿宋" w:hAnsi="仿宋" w:eastAsia="仿宋" w:cs="仿宋"/>
          <w:sz w:val="30"/>
          <w:szCs w:val="30"/>
        </w:rPr>
        <w:t>自然资源行政事业性收费收入入库较多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；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罚没收入7432万元，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增长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168.59%，主要是</w:t>
      </w:r>
      <w:r>
        <w:rPr>
          <w:rFonts w:hint="eastAsia" w:ascii="仿宋" w:hAnsi="仿宋" w:eastAsia="仿宋" w:cs="仿宋"/>
          <w:sz w:val="30"/>
          <w:szCs w:val="30"/>
        </w:rPr>
        <w:t>清缴入库的罚没收入较多，导致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增长</w:t>
      </w:r>
      <w:r>
        <w:rPr>
          <w:rFonts w:hint="eastAsia" w:ascii="仿宋" w:hAnsi="仿宋" w:eastAsia="仿宋" w:cs="仿宋"/>
          <w:sz w:val="30"/>
          <w:szCs w:val="30"/>
        </w:rPr>
        <w:t>较高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；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国有资源(资产)有偿使用收入12856万元，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下降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39.71%；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其他收入798万元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增长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131.3%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b w:val="0"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insum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A3C34"/>
    <w:rsid w:val="42F95406"/>
    <w:rsid w:val="55225104"/>
    <w:rsid w:val="70CA3C3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2022-09-19T03:27:00Z</dcterms:created>
  <dc:creator>Administrator</dc:creator>
  <cp:lastModifiedBy>Administrator</cp:lastModifiedBy>
  <dcterms:modified xsi:type="dcterms:W3CDTF">2022-09-22T03:36:23Z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